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F879B" w14:textId="48600814" w:rsidR="008E5998" w:rsidRDefault="008E5998" w:rsidP="008E5998">
      <w:pPr>
        <w:pStyle w:val="Heading1"/>
        <w:jc w:val="center"/>
        <w:rPr>
          <w:b/>
          <w:sz w:val="22"/>
          <w:szCs w:val="22"/>
        </w:rPr>
      </w:pPr>
      <w:r>
        <w:rPr>
          <w:b/>
          <w:sz w:val="22"/>
          <w:szCs w:val="22"/>
        </w:rPr>
        <w:t xml:space="preserve">Decolonised reading list for Cambridge </w:t>
      </w:r>
      <w:r>
        <w:rPr>
          <w:b/>
          <w:sz w:val="22"/>
          <w:szCs w:val="22"/>
        </w:rPr>
        <w:t>Social Anthropology</w:t>
      </w:r>
      <w:r>
        <w:rPr>
          <w:b/>
          <w:sz w:val="22"/>
          <w:szCs w:val="22"/>
        </w:rPr>
        <w:t xml:space="preserve"> course</w:t>
      </w:r>
    </w:p>
    <w:p w14:paraId="299247D6" w14:textId="77777777" w:rsidR="008E5998" w:rsidRPr="003F1E81" w:rsidRDefault="008E5998" w:rsidP="008E5998">
      <w:pPr>
        <w:jc w:val="center"/>
        <w:rPr>
          <w:i/>
        </w:rPr>
      </w:pPr>
      <w:r w:rsidRPr="003F1E81">
        <w:rPr>
          <w:i/>
        </w:rPr>
        <w:t>[</w:t>
      </w:r>
      <w:r>
        <w:rPr>
          <w:i/>
        </w:rPr>
        <w:t>Compiled by graduates in September 2018]</w:t>
      </w:r>
    </w:p>
    <w:p w14:paraId="6BDAA066" w14:textId="77777777" w:rsidR="008E5998" w:rsidRPr="00180FEA" w:rsidRDefault="008E5998" w:rsidP="008E5998"/>
    <w:p w14:paraId="523A4369" w14:textId="0572455B" w:rsidR="00EC1E26" w:rsidRDefault="00D323C0" w:rsidP="00EC1E26">
      <w:pPr>
        <w:jc w:val="both"/>
      </w:pPr>
      <w:r>
        <w:t xml:space="preserve">The introductory social anthropology course at Cambridge </w:t>
      </w:r>
      <w:r w:rsidR="00EC1E26">
        <w:t xml:space="preserve">aims to provide students with an introduction to the subject of social anthropology. It is comprised of three parts: the </w:t>
      </w:r>
      <w:bookmarkStart w:id="0" w:name="_GoBack"/>
      <w:bookmarkEnd w:id="0"/>
      <w:r w:rsidR="00EC1E26">
        <w:t xml:space="preserve">study of two core ethnographies, the comparative study of social institutions, and a historical overview of the discipline. </w:t>
      </w:r>
    </w:p>
    <w:p w14:paraId="2038F7A0" w14:textId="77777777" w:rsidR="00EC1E26" w:rsidRDefault="00EC1E26" w:rsidP="00EC1E26">
      <w:pPr>
        <w:jc w:val="both"/>
      </w:pPr>
    </w:p>
    <w:p w14:paraId="44807EDB" w14:textId="77777777" w:rsidR="00EC1E26" w:rsidRDefault="00EC1E26" w:rsidP="00EC1E26">
      <w:pPr>
        <w:jc w:val="both"/>
      </w:pPr>
      <w:r>
        <w:t>Decolonising social anthropology is a curious endeavour. On the one hand, the discipline is quite literally a product of Europe’s colonial expansion. On the other hand, the discipline has developed into one that is deeply reflexive and capable of questioning its own methods and theoretical traditions. Decolonisation is as much about processes and methods as it is about content - it is heartening to see more diverse voices being incorporated in the SAN1 curriculum over the past year, but how we choose to use the many available ethnographic texts in each of our own essays is also a part of the project.</w:t>
      </w:r>
    </w:p>
    <w:p w14:paraId="108F6736" w14:textId="77777777" w:rsidR="00EC1E26" w:rsidRDefault="00EC1E26" w:rsidP="00EC1E26">
      <w:pPr>
        <w:jc w:val="both"/>
      </w:pPr>
    </w:p>
    <w:p w14:paraId="68773950" w14:textId="77777777" w:rsidR="00EC1E26" w:rsidRDefault="00EC1E26" w:rsidP="00EC1E26">
      <w:pPr>
        <w:jc w:val="both"/>
      </w:pPr>
      <w:r>
        <w:t>The list below does not encompass even an overview of decolonial works. It simply provides some entry points through which you may begin exploring how one can study anthropology in ways that are attentive of its colonial roots while being constructive in shaping a more inclusive and truthful disciplinary future.</w:t>
      </w:r>
    </w:p>
    <w:p w14:paraId="40DEA2D4" w14:textId="77777777" w:rsidR="00EC1E26" w:rsidRDefault="00EC1E26" w:rsidP="00EC1E26">
      <w:pPr>
        <w:jc w:val="both"/>
      </w:pPr>
    </w:p>
    <w:p w14:paraId="38198704" w14:textId="77777777" w:rsidR="00EC1E26" w:rsidRDefault="00EC1E26" w:rsidP="00EC1E26">
      <w:pPr>
        <w:jc w:val="both"/>
        <w:rPr>
          <w:b/>
        </w:rPr>
      </w:pPr>
      <w:r>
        <w:rPr>
          <w:b/>
        </w:rPr>
        <w:t>General readings:</w:t>
      </w:r>
    </w:p>
    <w:p w14:paraId="465D82CA" w14:textId="77777777" w:rsidR="00EC1E26" w:rsidRDefault="00EC1E26" w:rsidP="00EC1E26">
      <w:pPr>
        <w:numPr>
          <w:ilvl w:val="0"/>
          <w:numId w:val="3"/>
        </w:numPr>
        <w:contextualSpacing/>
      </w:pPr>
      <w:r>
        <w:t xml:space="preserve">Faye V. Harrison, 1997, </w:t>
      </w:r>
      <w:r>
        <w:rPr>
          <w:i/>
        </w:rPr>
        <w:t>Decolonizing Anthropology: Moving Further Toward an Anthropology for Liberation</w:t>
      </w:r>
    </w:p>
    <w:p w14:paraId="0C6F4D29" w14:textId="77777777" w:rsidR="00EC1E26" w:rsidRDefault="00EC1E26" w:rsidP="00EC1E26">
      <w:pPr>
        <w:numPr>
          <w:ilvl w:val="0"/>
          <w:numId w:val="3"/>
        </w:numPr>
        <w:contextualSpacing/>
      </w:pPr>
      <w:r>
        <w:t xml:space="preserve">Maria Lugones, 2007,  </w:t>
      </w:r>
      <w:hyperlink r:id="rId7">
        <w:r>
          <w:rPr>
            <w:color w:val="1155CC"/>
            <w:u w:val="single"/>
          </w:rPr>
          <w:t>“Heterosexualism and the Colonial / Modern Gender System”</w:t>
        </w:r>
      </w:hyperlink>
    </w:p>
    <w:p w14:paraId="24EFE634" w14:textId="77777777" w:rsidR="00EC1E26" w:rsidRDefault="00EC1E26" w:rsidP="00EC1E26">
      <w:pPr>
        <w:widowControl w:val="0"/>
        <w:numPr>
          <w:ilvl w:val="0"/>
          <w:numId w:val="3"/>
        </w:numPr>
        <w:contextualSpacing/>
      </w:pPr>
      <w:r>
        <w:t xml:space="preserve">Edward Said, 1978, </w:t>
      </w:r>
      <w:r>
        <w:rPr>
          <w:i/>
        </w:rPr>
        <w:t>Orientalism</w:t>
      </w:r>
    </w:p>
    <w:p w14:paraId="225F173C" w14:textId="77777777" w:rsidR="00EC1E26" w:rsidRDefault="00EC1E26" w:rsidP="00EC1E26">
      <w:pPr>
        <w:widowControl w:val="0"/>
        <w:numPr>
          <w:ilvl w:val="1"/>
          <w:numId w:val="3"/>
        </w:numPr>
        <w:contextualSpacing/>
      </w:pPr>
      <w:r>
        <w:t>Dennis Porter, 1983 ‘Orientalism and its Problems’</w:t>
      </w:r>
    </w:p>
    <w:p w14:paraId="350B1112" w14:textId="77777777" w:rsidR="00EC1E26" w:rsidRDefault="00EC1E26" w:rsidP="00EC1E26">
      <w:pPr>
        <w:numPr>
          <w:ilvl w:val="1"/>
          <w:numId w:val="3"/>
        </w:numPr>
        <w:contextualSpacing/>
        <w:jc w:val="both"/>
      </w:pPr>
      <w:r>
        <w:t xml:space="preserve">Meyda Yegenoglu, 1998, </w:t>
      </w:r>
      <w:r>
        <w:rPr>
          <w:i/>
        </w:rPr>
        <w:t>Colonial Fantasies: Towards a Feminist Reading of Orientalism</w:t>
      </w:r>
    </w:p>
    <w:p w14:paraId="049AA2D4" w14:textId="77777777" w:rsidR="00EC1E26" w:rsidRDefault="00EC1E26" w:rsidP="00EC1E26">
      <w:pPr>
        <w:numPr>
          <w:ilvl w:val="0"/>
          <w:numId w:val="3"/>
        </w:numPr>
        <w:contextualSpacing/>
        <w:jc w:val="both"/>
      </w:pPr>
      <w:r>
        <w:t xml:space="preserve">Patrick Wolfe, 1999, </w:t>
      </w:r>
      <w:r>
        <w:rPr>
          <w:i/>
        </w:rPr>
        <w:t>Settler-Colonialism and the Transformation of Anthropology: The Politics and Poetics of an Ethnographic Events</w:t>
      </w:r>
    </w:p>
    <w:p w14:paraId="3B6556D6" w14:textId="77777777" w:rsidR="00EC1E26" w:rsidRDefault="00BF5255" w:rsidP="00EC1E26">
      <w:pPr>
        <w:numPr>
          <w:ilvl w:val="0"/>
          <w:numId w:val="3"/>
        </w:numPr>
        <w:contextualSpacing/>
        <w:jc w:val="both"/>
      </w:pPr>
      <w:hyperlink r:id="rId8">
        <w:r w:rsidR="00EC1E26">
          <w:rPr>
            <w:color w:val="1155CC"/>
            <w:u w:val="single"/>
          </w:rPr>
          <w:t>“Decolonizing Anthropology”</w:t>
        </w:r>
      </w:hyperlink>
      <w:r w:rsidR="00EC1E26">
        <w:t xml:space="preserve"> on Savage Minds</w:t>
      </w:r>
    </w:p>
    <w:p w14:paraId="39C135F2" w14:textId="77777777" w:rsidR="00EC1E26" w:rsidRDefault="00EC1E26" w:rsidP="00EC1E26">
      <w:pPr>
        <w:numPr>
          <w:ilvl w:val="0"/>
          <w:numId w:val="3"/>
        </w:numPr>
        <w:contextualSpacing/>
        <w:jc w:val="both"/>
      </w:pPr>
      <w:r>
        <w:t xml:space="preserve">Nyamnjoh, Francis B. </w:t>
      </w:r>
      <w:hyperlink r:id="rId9">
        <w:r>
          <w:rPr>
            <w:color w:val="1155CC"/>
            <w:u w:val="single"/>
          </w:rPr>
          <w:t>‘Blinded by Sight: Divining the Future of Anthropology in Africa’</w:t>
        </w:r>
      </w:hyperlink>
      <w:r>
        <w:t>, Africa Spectrum 47, no. 2-3 (2012): 63-92</w:t>
      </w:r>
    </w:p>
    <w:p w14:paraId="443F5576" w14:textId="77777777" w:rsidR="00EC1E26" w:rsidRDefault="00EC1E26" w:rsidP="00EC1E26">
      <w:pPr>
        <w:numPr>
          <w:ilvl w:val="0"/>
          <w:numId w:val="3"/>
        </w:numPr>
        <w:contextualSpacing/>
        <w:jc w:val="both"/>
      </w:pPr>
      <w:r>
        <w:t>Anderson, K. &amp; Jack, D. 1991. Learning to listen. In S. Gluck &amp; D. Patai, eds. Women’s Words. London: Routledge, pp. 11–26.</w:t>
      </w:r>
    </w:p>
    <w:p w14:paraId="4CBE73D2" w14:textId="77777777" w:rsidR="00EC1E26" w:rsidRDefault="00EC1E26" w:rsidP="00EC1E26">
      <w:pPr>
        <w:numPr>
          <w:ilvl w:val="0"/>
          <w:numId w:val="3"/>
        </w:numPr>
        <w:contextualSpacing/>
        <w:jc w:val="both"/>
      </w:pPr>
      <w:r>
        <w:t>Lewis, D. 2010. Discursive Challenges for African Feminisms. In A. A. Ampofo &amp; S. Arnfred, eds. African Feminist Politics of Knowledge: Tensions, Challenges, Possibilities. Uppsala: Nordiska Afrikainstitutet.</w:t>
      </w:r>
    </w:p>
    <w:p w14:paraId="416E24F8" w14:textId="77777777" w:rsidR="00EC1E26" w:rsidRDefault="00EC1E26" w:rsidP="00EC1E26">
      <w:pPr>
        <w:numPr>
          <w:ilvl w:val="0"/>
          <w:numId w:val="3"/>
        </w:numPr>
        <w:contextualSpacing/>
        <w:jc w:val="both"/>
      </w:pPr>
      <w:r>
        <w:t>Ribeiro, G.L. &amp; Escobar, A. eds. 2006. World Anthropologies: Disciplinary Transformations Within Systems of Power. Oxford: Berg.</w:t>
      </w:r>
    </w:p>
    <w:p w14:paraId="398D043A" w14:textId="77777777" w:rsidR="00EC1E26" w:rsidRDefault="00EC1E26" w:rsidP="00EC1E26">
      <w:pPr>
        <w:numPr>
          <w:ilvl w:val="0"/>
          <w:numId w:val="3"/>
        </w:numPr>
        <w:contextualSpacing/>
        <w:jc w:val="both"/>
      </w:pPr>
      <w:r>
        <w:lastRenderedPageBreak/>
        <w:t>Shepherd, N. 2003. “When the Hand that Holds the Trowel is Black...”: Disciplinary Practices of Self-Representation and the Issue of “Native” Labour in Archaeology. Journal of Social Archaeology, 3(3): 334–352.</w:t>
      </w:r>
    </w:p>
    <w:p w14:paraId="71E7FF82" w14:textId="77777777" w:rsidR="00EC1E26" w:rsidRDefault="00EC1E26" w:rsidP="00EC1E26">
      <w:pPr>
        <w:jc w:val="both"/>
        <w:rPr>
          <w:i/>
        </w:rPr>
      </w:pPr>
    </w:p>
    <w:p w14:paraId="6C420148" w14:textId="77777777" w:rsidR="00EC1E26" w:rsidRDefault="00EC1E26" w:rsidP="00EC1E26">
      <w:pPr>
        <w:jc w:val="both"/>
        <w:rPr>
          <w:b/>
        </w:rPr>
      </w:pPr>
      <w:r>
        <w:rPr>
          <w:b/>
        </w:rPr>
        <w:t>Theoretical texts:</w:t>
      </w:r>
    </w:p>
    <w:p w14:paraId="3B380617" w14:textId="77777777" w:rsidR="00EC1E26" w:rsidRDefault="00EC1E26" w:rsidP="00EC1E26">
      <w:pPr>
        <w:numPr>
          <w:ilvl w:val="0"/>
          <w:numId w:val="1"/>
        </w:numPr>
        <w:contextualSpacing/>
        <w:jc w:val="both"/>
        <w:rPr>
          <w:color w:val="222222"/>
          <w:highlight w:val="white"/>
        </w:rPr>
      </w:pPr>
      <w:r>
        <w:rPr>
          <w:color w:val="222222"/>
          <w:highlight w:val="white"/>
        </w:rPr>
        <w:t xml:space="preserve">Alcoff, Linda Martín. "Towards a phenomenology of racial embodiment." </w:t>
      </w:r>
      <w:r>
        <w:rPr>
          <w:i/>
          <w:color w:val="222222"/>
          <w:highlight w:val="white"/>
        </w:rPr>
        <w:t xml:space="preserve">Radical Philosophy </w:t>
      </w:r>
      <w:r>
        <w:rPr>
          <w:color w:val="333333"/>
          <w:highlight w:val="white"/>
        </w:rPr>
        <w:t>95</w:t>
      </w:r>
      <w:r>
        <w:rPr>
          <w:i/>
          <w:color w:val="333333"/>
          <w:highlight w:val="white"/>
        </w:rPr>
        <w:t xml:space="preserve"> </w:t>
      </w:r>
      <w:r>
        <w:rPr>
          <w:color w:val="333333"/>
          <w:highlight w:val="white"/>
        </w:rPr>
        <w:t>(1999): 15-26.</w:t>
      </w:r>
    </w:p>
    <w:p w14:paraId="6F4E7F96" w14:textId="77777777" w:rsidR="00EC1E26" w:rsidRDefault="00EC1E26" w:rsidP="00EC1E26">
      <w:pPr>
        <w:numPr>
          <w:ilvl w:val="0"/>
          <w:numId w:val="1"/>
        </w:numPr>
        <w:contextualSpacing/>
        <w:jc w:val="both"/>
        <w:rPr>
          <w:color w:val="222222"/>
          <w:highlight w:val="white"/>
        </w:rPr>
      </w:pPr>
      <w:r>
        <w:rPr>
          <w:color w:val="222222"/>
          <w:highlight w:val="white"/>
        </w:rPr>
        <w:t>Asad</w:t>
      </w:r>
    </w:p>
    <w:p w14:paraId="31819887" w14:textId="77777777" w:rsidR="00EC1E26" w:rsidRDefault="00EC1E26" w:rsidP="00EC1E26">
      <w:pPr>
        <w:numPr>
          <w:ilvl w:val="1"/>
          <w:numId w:val="1"/>
        </w:numPr>
        <w:contextualSpacing/>
        <w:jc w:val="both"/>
        <w:rPr>
          <w:color w:val="222222"/>
          <w:highlight w:val="white"/>
        </w:rPr>
      </w:pPr>
      <w:r>
        <w:rPr>
          <w:color w:val="222222"/>
          <w:highlight w:val="white"/>
        </w:rPr>
        <w:t xml:space="preserve">Asad, Talal. </w:t>
      </w:r>
      <w:r>
        <w:rPr>
          <w:i/>
          <w:color w:val="222222"/>
          <w:highlight w:val="white"/>
        </w:rPr>
        <w:t>Anthropology and the Colonial Encounter</w:t>
      </w:r>
      <w:r>
        <w:rPr>
          <w:color w:val="222222"/>
          <w:highlight w:val="white"/>
        </w:rPr>
        <w:t>. Atlantic Highlands: Humanities Press, 1973.</w:t>
      </w:r>
    </w:p>
    <w:p w14:paraId="53C53069" w14:textId="77777777" w:rsidR="00EC1E26" w:rsidRDefault="00EC1E26" w:rsidP="00EC1E26">
      <w:pPr>
        <w:numPr>
          <w:ilvl w:val="1"/>
          <w:numId w:val="1"/>
        </w:numPr>
        <w:contextualSpacing/>
        <w:jc w:val="both"/>
        <w:rPr>
          <w:color w:val="222222"/>
          <w:highlight w:val="white"/>
        </w:rPr>
      </w:pPr>
      <w:r>
        <w:rPr>
          <w:color w:val="222222"/>
          <w:highlight w:val="white"/>
        </w:rPr>
        <w:t xml:space="preserve">Asad, Talal. </w:t>
      </w:r>
      <w:r>
        <w:rPr>
          <w:i/>
          <w:color w:val="222222"/>
          <w:highlight w:val="white"/>
        </w:rPr>
        <w:t>Formations of the secular: Christianity, Islam, modernity</w:t>
      </w:r>
      <w:r>
        <w:rPr>
          <w:color w:val="222222"/>
          <w:highlight w:val="white"/>
        </w:rPr>
        <w:t>. Redwood City: Stanford University Press, 2003.</w:t>
      </w:r>
    </w:p>
    <w:p w14:paraId="4EDEFCEB" w14:textId="77777777" w:rsidR="00EC1E26" w:rsidRDefault="00EC1E26" w:rsidP="00EC1E26">
      <w:pPr>
        <w:numPr>
          <w:ilvl w:val="0"/>
          <w:numId w:val="1"/>
        </w:numPr>
        <w:contextualSpacing/>
        <w:jc w:val="both"/>
        <w:rPr>
          <w:color w:val="222222"/>
          <w:highlight w:val="white"/>
        </w:rPr>
      </w:pPr>
      <w:r>
        <w:rPr>
          <w:color w:val="222222"/>
          <w:highlight w:val="white"/>
        </w:rPr>
        <w:t>Comaroffs</w:t>
      </w:r>
    </w:p>
    <w:p w14:paraId="5B9995DE" w14:textId="77777777" w:rsidR="00EC1E26" w:rsidRDefault="00EC1E26" w:rsidP="00EC1E26">
      <w:pPr>
        <w:numPr>
          <w:ilvl w:val="1"/>
          <w:numId w:val="1"/>
        </w:numPr>
        <w:contextualSpacing/>
        <w:jc w:val="both"/>
        <w:rPr>
          <w:color w:val="222222"/>
          <w:highlight w:val="white"/>
        </w:rPr>
      </w:pPr>
      <w:r>
        <w:rPr>
          <w:color w:val="222222"/>
          <w:highlight w:val="white"/>
        </w:rPr>
        <w:t xml:space="preserve">Comaroff, John L., and Jean Comaroff, eds. </w:t>
      </w:r>
      <w:r>
        <w:rPr>
          <w:i/>
          <w:color w:val="222222"/>
          <w:highlight w:val="white"/>
        </w:rPr>
        <w:t>Civil society and the political imagination in Africa: Critical perspectives</w:t>
      </w:r>
      <w:r>
        <w:rPr>
          <w:color w:val="222222"/>
          <w:highlight w:val="white"/>
        </w:rPr>
        <w:t>. Chicago: The University of Chicago Press, 1999.</w:t>
      </w:r>
    </w:p>
    <w:p w14:paraId="2E173EF7" w14:textId="77777777" w:rsidR="00EC1E26" w:rsidRDefault="00EC1E26" w:rsidP="00EC1E26">
      <w:pPr>
        <w:numPr>
          <w:ilvl w:val="1"/>
          <w:numId w:val="1"/>
        </w:numPr>
        <w:contextualSpacing/>
        <w:jc w:val="both"/>
        <w:rPr>
          <w:color w:val="222222"/>
          <w:highlight w:val="white"/>
        </w:rPr>
      </w:pPr>
      <w:r>
        <w:rPr>
          <w:color w:val="222222"/>
          <w:highlight w:val="white"/>
        </w:rPr>
        <w:t xml:space="preserve">Comaroff, Jean and John Comaroff. "Ethnography on an awkward scale: Postcolonial anthropology and the violence of abstraction." </w:t>
      </w:r>
      <w:r>
        <w:rPr>
          <w:i/>
          <w:color w:val="222222"/>
          <w:highlight w:val="white"/>
        </w:rPr>
        <w:t>Ethnography</w:t>
      </w:r>
      <w:r>
        <w:rPr>
          <w:color w:val="222222"/>
          <w:highlight w:val="white"/>
        </w:rPr>
        <w:t xml:space="preserve"> 4.2 (2003): 147-179.</w:t>
      </w:r>
    </w:p>
    <w:p w14:paraId="4CD750FD" w14:textId="77777777" w:rsidR="00EC1E26" w:rsidRDefault="00EC1E26" w:rsidP="00EC1E26">
      <w:pPr>
        <w:numPr>
          <w:ilvl w:val="1"/>
          <w:numId w:val="1"/>
        </w:numPr>
        <w:contextualSpacing/>
        <w:jc w:val="both"/>
        <w:rPr>
          <w:color w:val="222222"/>
          <w:highlight w:val="white"/>
        </w:rPr>
      </w:pPr>
      <w:r>
        <w:rPr>
          <w:color w:val="222222"/>
          <w:highlight w:val="white"/>
        </w:rPr>
        <w:t xml:space="preserve">Comaroff, Jean, and John L. Comaroff, eds. </w:t>
      </w:r>
      <w:r>
        <w:rPr>
          <w:i/>
          <w:color w:val="222222"/>
          <w:highlight w:val="white"/>
        </w:rPr>
        <w:t>Law and Disorder in the Postcolony</w:t>
      </w:r>
      <w:r>
        <w:rPr>
          <w:color w:val="222222"/>
          <w:highlight w:val="white"/>
        </w:rPr>
        <w:t>. Chicago: The University of Chicago Press, 2008.</w:t>
      </w:r>
    </w:p>
    <w:p w14:paraId="7B4AC9C8" w14:textId="77777777" w:rsidR="00EC1E26" w:rsidRDefault="00EC1E26" w:rsidP="00EC1E26">
      <w:pPr>
        <w:numPr>
          <w:ilvl w:val="1"/>
          <w:numId w:val="1"/>
        </w:numPr>
        <w:contextualSpacing/>
        <w:jc w:val="both"/>
        <w:rPr>
          <w:color w:val="222222"/>
          <w:highlight w:val="white"/>
        </w:rPr>
      </w:pPr>
      <w:r>
        <w:rPr>
          <w:color w:val="222222"/>
          <w:highlight w:val="white"/>
        </w:rPr>
        <w:t xml:space="preserve">Comaroff, Jean, and John L. Comaroff. "Occult economies and the violence of abstraction: notes from the South African postcolony." </w:t>
      </w:r>
      <w:r>
        <w:rPr>
          <w:i/>
          <w:color w:val="222222"/>
          <w:highlight w:val="white"/>
        </w:rPr>
        <w:t>American ethnologist</w:t>
      </w:r>
      <w:r>
        <w:rPr>
          <w:color w:val="222222"/>
          <w:highlight w:val="white"/>
        </w:rPr>
        <w:t xml:space="preserve"> 26.2 (1999): 279-303.</w:t>
      </w:r>
    </w:p>
    <w:p w14:paraId="7F2BEF9E" w14:textId="77777777" w:rsidR="00EC1E26" w:rsidRDefault="00EC1E26" w:rsidP="00EC1E26">
      <w:pPr>
        <w:numPr>
          <w:ilvl w:val="0"/>
          <w:numId w:val="2"/>
        </w:numPr>
        <w:contextualSpacing/>
        <w:jc w:val="both"/>
        <w:rPr>
          <w:highlight w:val="white"/>
        </w:rPr>
      </w:pPr>
      <w:r>
        <w:rPr>
          <w:highlight w:val="white"/>
        </w:rPr>
        <w:t xml:space="preserve">Comaroff, Jean, and John L. Comaroff. </w:t>
      </w:r>
      <w:r>
        <w:rPr>
          <w:i/>
          <w:highlight w:val="white"/>
        </w:rPr>
        <w:t>Theory from the South: Or, how Euro-America is evolving toward Africa</w:t>
      </w:r>
      <w:r>
        <w:rPr>
          <w:highlight w:val="white"/>
        </w:rPr>
        <w:t>. London: Routledge, 2015.</w:t>
      </w:r>
      <w:r>
        <w:rPr>
          <w:color w:val="222222"/>
          <w:highlight w:val="white"/>
        </w:rPr>
        <w:t xml:space="preserve"> </w:t>
      </w:r>
    </w:p>
    <w:p w14:paraId="53948B3D" w14:textId="77777777" w:rsidR="00EC1E26" w:rsidRDefault="00BF5255" w:rsidP="00EC1E26">
      <w:pPr>
        <w:numPr>
          <w:ilvl w:val="1"/>
          <w:numId w:val="2"/>
        </w:numPr>
        <w:contextualSpacing/>
        <w:jc w:val="both"/>
        <w:rPr>
          <w:highlight w:val="white"/>
        </w:rPr>
      </w:pPr>
      <w:hyperlink r:id="rId10">
        <w:r w:rsidR="00EC1E26">
          <w:rPr>
            <w:color w:val="1155CC"/>
            <w:u w:val="single"/>
          </w:rPr>
          <w:t xml:space="preserve">Journal of Ethnographic Theory, Vol 7, No 1 (2017) </w:t>
        </w:r>
      </w:hyperlink>
      <w:r w:rsidR="00EC1E26">
        <w:t xml:space="preserve">- </w:t>
      </w:r>
      <w:r w:rsidR="00EC1E26">
        <w:rPr>
          <w:i/>
        </w:rPr>
        <w:t>Debate Collection</w:t>
      </w:r>
    </w:p>
    <w:p w14:paraId="04AE9355" w14:textId="77777777" w:rsidR="00EC1E26" w:rsidRDefault="00EC1E26" w:rsidP="00EC1E26">
      <w:pPr>
        <w:numPr>
          <w:ilvl w:val="0"/>
          <w:numId w:val="4"/>
        </w:numPr>
        <w:contextualSpacing/>
        <w:jc w:val="both"/>
      </w:pPr>
      <w:r>
        <w:t xml:space="preserve">Kuehnast, K. (1992). </w:t>
      </w:r>
      <w:hyperlink r:id="rId11">
        <w:r>
          <w:rPr>
            <w:color w:val="1155CC"/>
            <w:u w:val="single"/>
          </w:rPr>
          <w:t>“Visual imperialism and the export of prejudice: an exploration of ethnographic film”</w:t>
        </w:r>
      </w:hyperlink>
      <w:r>
        <w:t xml:space="preserve">. </w:t>
      </w:r>
      <w:r>
        <w:rPr>
          <w:i/>
        </w:rPr>
        <w:t>Film as Ethnography.</w:t>
      </w:r>
      <w:r>
        <w:t xml:space="preserve"> Eds. Crawford, P. &amp; Turton, D. Manchester: Manchester University Press</w:t>
      </w:r>
    </w:p>
    <w:p w14:paraId="3856D422" w14:textId="77777777" w:rsidR="00EC1E26" w:rsidRDefault="00EC1E26" w:rsidP="00EC1E26">
      <w:pPr>
        <w:numPr>
          <w:ilvl w:val="0"/>
          <w:numId w:val="4"/>
        </w:numPr>
        <w:contextualSpacing/>
        <w:jc w:val="both"/>
        <w:rPr>
          <w:i/>
        </w:rPr>
      </w:pPr>
      <w:r>
        <w:t xml:space="preserve">Timothy Mitchell, “Society, Economy, and the State Effect.” </w:t>
      </w:r>
      <w:r>
        <w:rPr>
          <w:i/>
        </w:rPr>
        <w:t xml:space="preserve">The Anthropology of the State: A Reader. </w:t>
      </w:r>
      <w:r>
        <w:t>Ed. Aradhana Sharma and Akhil Gupta. Malden: Blackwell, 2006. 169-86.</w:t>
      </w:r>
    </w:p>
    <w:p w14:paraId="7614F54A" w14:textId="77777777" w:rsidR="00EC1E26" w:rsidRDefault="00EC1E26" w:rsidP="00EC1E26">
      <w:pPr>
        <w:numPr>
          <w:ilvl w:val="0"/>
          <w:numId w:val="4"/>
        </w:numPr>
        <w:contextualSpacing/>
        <w:jc w:val="both"/>
        <w:rPr>
          <w:i/>
        </w:rPr>
      </w:pPr>
      <w:r>
        <w:rPr>
          <w:color w:val="222222"/>
          <w:highlight w:val="white"/>
        </w:rPr>
        <w:t xml:space="preserve">MacGaffey, Wyatt. "Concepts of race in the historicography of Northeast Africa." </w:t>
      </w:r>
      <w:r>
        <w:rPr>
          <w:i/>
          <w:color w:val="222222"/>
          <w:highlight w:val="white"/>
        </w:rPr>
        <w:t>The Journal of African History</w:t>
      </w:r>
      <w:r>
        <w:rPr>
          <w:color w:val="222222"/>
          <w:highlight w:val="white"/>
        </w:rPr>
        <w:t xml:space="preserve"> 7.1 (1966):1-17.</w:t>
      </w:r>
    </w:p>
    <w:p w14:paraId="1D130907" w14:textId="77777777" w:rsidR="00EC1E26" w:rsidRDefault="00EC1E26" w:rsidP="00EC1E26">
      <w:pPr>
        <w:numPr>
          <w:ilvl w:val="0"/>
          <w:numId w:val="4"/>
        </w:numPr>
        <w:contextualSpacing/>
        <w:jc w:val="both"/>
        <w:rPr>
          <w:i/>
        </w:rPr>
      </w:pPr>
      <w:r>
        <w:rPr>
          <w:color w:val="222222"/>
          <w:highlight w:val="white"/>
        </w:rPr>
        <w:t>Mafeje</w:t>
      </w:r>
    </w:p>
    <w:p w14:paraId="7E4E0FCE" w14:textId="77777777" w:rsidR="00EC1E26" w:rsidRDefault="00EC1E26" w:rsidP="00EC1E26">
      <w:pPr>
        <w:numPr>
          <w:ilvl w:val="1"/>
          <w:numId w:val="4"/>
        </w:numPr>
        <w:contextualSpacing/>
        <w:jc w:val="both"/>
        <w:rPr>
          <w:i/>
        </w:rPr>
      </w:pPr>
      <w:r>
        <w:rPr>
          <w:color w:val="222222"/>
          <w:highlight w:val="white"/>
        </w:rPr>
        <w:t xml:space="preserve">Mafeje, Archie. "On the articulation of modes of production." </w:t>
      </w:r>
      <w:r>
        <w:rPr>
          <w:i/>
          <w:color w:val="222222"/>
          <w:highlight w:val="white"/>
        </w:rPr>
        <w:t>Journal of Southern African Studies</w:t>
      </w:r>
      <w:r>
        <w:rPr>
          <w:color w:val="222222"/>
          <w:highlight w:val="white"/>
        </w:rPr>
        <w:t xml:space="preserve"> 8.1 (1981): 123-138.</w:t>
      </w:r>
    </w:p>
    <w:p w14:paraId="13C14FDE" w14:textId="77777777" w:rsidR="00EC1E26" w:rsidRDefault="00EC1E26" w:rsidP="00EC1E26">
      <w:pPr>
        <w:numPr>
          <w:ilvl w:val="1"/>
          <w:numId w:val="4"/>
        </w:numPr>
        <w:contextualSpacing/>
        <w:jc w:val="both"/>
        <w:rPr>
          <w:i/>
        </w:rPr>
      </w:pPr>
      <w:r>
        <w:rPr>
          <w:color w:val="222222"/>
          <w:highlight w:val="white"/>
        </w:rPr>
        <w:t xml:space="preserve">Mafeje, Archie. "The ideology of ‘tribalism’." </w:t>
      </w:r>
      <w:r>
        <w:rPr>
          <w:i/>
          <w:color w:val="222222"/>
          <w:highlight w:val="white"/>
        </w:rPr>
        <w:t>The journal of modern African studies</w:t>
      </w:r>
      <w:r>
        <w:rPr>
          <w:color w:val="222222"/>
          <w:highlight w:val="white"/>
        </w:rPr>
        <w:t xml:space="preserve"> 9.2 (1971): 253-261.</w:t>
      </w:r>
    </w:p>
    <w:p w14:paraId="7A21BF34" w14:textId="77777777" w:rsidR="00EC1E26" w:rsidRPr="003F1E81" w:rsidRDefault="00EC1E26" w:rsidP="00EC1E26">
      <w:pPr>
        <w:numPr>
          <w:ilvl w:val="1"/>
          <w:numId w:val="4"/>
        </w:numPr>
        <w:contextualSpacing/>
        <w:jc w:val="both"/>
        <w:rPr>
          <w:i/>
          <w:lang w:val="fr-FR"/>
        </w:rPr>
      </w:pPr>
      <w:r>
        <w:rPr>
          <w:color w:val="222222"/>
          <w:highlight w:val="white"/>
        </w:rPr>
        <w:t xml:space="preserve">Mafeje, Archie. "The problem of anthropology in historical perspective: An inquiry into the growth of the social sciences." </w:t>
      </w:r>
      <w:r w:rsidRPr="003F1E81">
        <w:rPr>
          <w:i/>
          <w:color w:val="222222"/>
          <w:highlight w:val="white"/>
          <w:lang w:val="fr-FR"/>
        </w:rPr>
        <w:t>Canadian Journal of African Studies/La Revue canadienne des études africaines</w:t>
      </w:r>
      <w:r w:rsidRPr="003F1E81">
        <w:rPr>
          <w:color w:val="222222"/>
          <w:highlight w:val="white"/>
          <w:lang w:val="fr-FR"/>
        </w:rPr>
        <w:t xml:space="preserve"> 10.2 (1976): 307-333.</w:t>
      </w:r>
    </w:p>
    <w:p w14:paraId="7BB119A2" w14:textId="77777777" w:rsidR="00EC1E26" w:rsidRDefault="00EC1E26" w:rsidP="00EC1E26">
      <w:pPr>
        <w:numPr>
          <w:ilvl w:val="1"/>
          <w:numId w:val="4"/>
        </w:numPr>
        <w:contextualSpacing/>
        <w:jc w:val="both"/>
        <w:rPr>
          <w:i/>
        </w:rPr>
      </w:pPr>
      <w:r>
        <w:rPr>
          <w:color w:val="222222"/>
          <w:highlight w:val="white"/>
        </w:rPr>
        <w:t xml:space="preserve">Mafeje, Archie. </w:t>
      </w:r>
      <w:r>
        <w:rPr>
          <w:i/>
          <w:color w:val="222222"/>
          <w:highlight w:val="white"/>
        </w:rPr>
        <w:t>The Theory and Ethnography of African Social Formations: The Case of the Interlacustrine Kingdoms</w:t>
      </w:r>
      <w:r>
        <w:rPr>
          <w:color w:val="222222"/>
          <w:highlight w:val="white"/>
        </w:rPr>
        <w:t>. Dakar: CODESRIA, 1991.</w:t>
      </w:r>
    </w:p>
    <w:p w14:paraId="543163D8" w14:textId="77777777" w:rsidR="00EC1E26" w:rsidRDefault="00EC1E26" w:rsidP="00EC1E26">
      <w:pPr>
        <w:numPr>
          <w:ilvl w:val="1"/>
          <w:numId w:val="4"/>
        </w:numPr>
        <w:contextualSpacing/>
        <w:jc w:val="both"/>
        <w:rPr>
          <w:i/>
        </w:rPr>
      </w:pPr>
      <w:r>
        <w:rPr>
          <w:color w:val="222222"/>
          <w:highlight w:val="white"/>
        </w:rPr>
        <w:lastRenderedPageBreak/>
        <w:t xml:space="preserve">Mafeje, Archie. "Who are the Makers and Objects of Anthropology? A critical comment on Sally Falk Moore’s Anthropology and Africa." </w:t>
      </w:r>
      <w:r>
        <w:rPr>
          <w:i/>
          <w:color w:val="222222"/>
          <w:highlight w:val="white"/>
        </w:rPr>
        <w:t>African Sociological Review/Revue Africaine de Sociologie</w:t>
      </w:r>
      <w:r>
        <w:rPr>
          <w:color w:val="222222"/>
          <w:highlight w:val="white"/>
        </w:rPr>
        <w:t xml:space="preserve"> (1997): 1-15.</w:t>
      </w:r>
    </w:p>
    <w:p w14:paraId="05D04963" w14:textId="77777777" w:rsidR="00EC1E26" w:rsidRDefault="00EC1E26" w:rsidP="00EC1E26">
      <w:pPr>
        <w:numPr>
          <w:ilvl w:val="0"/>
          <w:numId w:val="4"/>
        </w:numPr>
        <w:contextualSpacing/>
        <w:jc w:val="both"/>
        <w:rPr>
          <w:i/>
        </w:rPr>
      </w:pPr>
      <w:r>
        <w:rPr>
          <w:highlight w:val="white"/>
        </w:rPr>
        <w:t>Pierre</w:t>
      </w:r>
    </w:p>
    <w:p w14:paraId="229C0E5E" w14:textId="77777777" w:rsidR="00EC1E26" w:rsidRDefault="00EC1E26" w:rsidP="00EC1E26">
      <w:pPr>
        <w:numPr>
          <w:ilvl w:val="1"/>
          <w:numId w:val="4"/>
        </w:numPr>
        <w:contextualSpacing/>
        <w:jc w:val="both"/>
        <w:rPr>
          <w:i/>
        </w:rPr>
      </w:pPr>
      <w:r>
        <w:rPr>
          <w:highlight w:val="white"/>
        </w:rPr>
        <w:t xml:space="preserve">Pierre, Jemima. "Black immigrants in the United States and the ‘cultural narratives’ of ethnicity." </w:t>
      </w:r>
      <w:r>
        <w:rPr>
          <w:i/>
          <w:highlight w:val="white"/>
        </w:rPr>
        <w:t>Identities: Global Studies in Culture and Power</w:t>
      </w:r>
      <w:r>
        <w:rPr>
          <w:highlight w:val="white"/>
        </w:rPr>
        <w:t xml:space="preserve"> 11.2 (2004): 141-170.</w:t>
      </w:r>
    </w:p>
    <w:p w14:paraId="57DFF6DA" w14:textId="77777777" w:rsidR="00EC1E26" w:rsidRDefault="00EC1E26" w:rsidP="00EC1E26">
      <w:pPr>
        <w:numPr>
          <w:ilvl w:val="1"/>
          <w:numId w:val="4"/>
        </w:numPr>
        <w:contextualSpacing/>
        <w:jc w:val="both"/>
        <w:rPr>
          <w:i/>
        </w:rPr>
      </w:pPr>
      <w:r>
        <w:rPr>
          <w:color w:val="222222"/>
          <w:highlight w:val="white"/>
        </w:rPr>
        <w:t>Pierre, Jemima. "Interrogating ‘Blackness’: Race and Identity</w:t>
      </w:r>
      <w:r>
        <w:rPr>
          <w:rFonts w:ascii="Times New Roman" w:eastAsia="Times New Roman" w:hAnsi="Times New Roman" w:cs="Times New Roman"/>
          <w:color w:val="222222"/>
          <w:highlight w:val="white"/>
        </w:rPr>
        <w:t>‐</w:t>
      </w:r>
      <w:r>
        <w:rPr>
          <w:color w:val="222222"/>
          <w:highlight w:val="white"/>
        </w:rPr>
        <w:t xml:space="preserve">formation in the African Diaspora." </w:t>
      </w:r>
      <w:r>
        <w:rPr>
          <w:i/>
          <w:color w:val="222222"/>
          <w:highlight w:val="white"/>
        </w:rPr>
        <w:t xml:space="preserve">Transforming Anthropology </w:t>
      </w:r>
      <w:r>
        <w:rPr>
          <w:color w:val="222222"/>
          <w:highlight w:val="white"/>
        </w:rPr>
        <w:t>11.1 (2002): 51-53.</w:t>
      </w:r>
    </w:p>
    <w:p w14:paraId="460DE6B5" w14:textId="77777777" w:rsidR="00EC1E26" w:rsidRDefault="00EC1E26" w:rsidP="00EC1E26">
      <w:pPr>
        <w:numPr>
          <w:ilvl w:val="1"/>
          <w:numId w:val="4"/>
        </w:numPr>
        <w:contextualSpacing/>
        <w:jc w:val="both"/>
        <w:rPr>
          <w:i/>
        </w:rPr>
      </w:pPr>
      <w:r>
        <w:rPr>
          <w:color w:val="222222"/>
          <w:highlight w:val="white"/>
        </w:rPr>
        <w:t xml:space="preserve">Pierre, Jemima. </w:t>
      </w:r>
      <w:r>
        <w:rPr>
          <w:i/>
          <w:color w:val="222222"/>
          <w:highlight w:val="white"/>
        </w:rPr>
        <w:t>Race across the Atlantic: mapping racialization in Africa and the African diaspora.</w:t>
      </w:r>
      <w:r>
        <w:rPr>
          <w:color w:val="222222"/>
          <w:highlight w:val="white"/>
        </w:rPr>
        <w:t xml:space="preserve"> Diss. University of Texas, 2002</w:t>
      </w:r>
      <w:r>
        <w:rPr>
          <w:highlight w:val="white"/>
        </w:rPr>
        <w:t>. Repositories.lib.utexas.edu.</w:t>
      </w:r>
    </w:p>
    <w:p w14:paraId="1E587B9B" w14:textId="77777777" w:rsidR="00EC1E26" w:rsidRDefault="00EC1E26" w:rsidP="00EC1E26">
      <w:pPr>
        <w:numPr>
          <w:ilvl w:val="1"/>
          <w:numId w:val="4"/>
        </w:numPr>
        <w:contextualSpacing/>
        <w:jc w:val="both"/>
        <w:rPr>
          <w:i/>
        </w:rPr>
      </w:pPr>
      <w:r>
        <w:rPr>
          <w:highlight w:val="white"/>
        </w:rPr>
        <w:t xml:space="preserve">Pierre, Jemima. </w:t>
      </w:r>
      <w:r>
        <w:rPr>
          <w:i/>
          <w:highlight w:val="white"/>
        </w:rPr>
        <w:t>The Predicament of Blackness: Postcolonial Ghana and the Politics of Race</w:t>
      </w:r>
      <w:r>
        <w:rPr>
          <w:highlight w:val="white"/>
        </w:rPr>
        <w:t>. Chicago; London: The University of Chicago, 2013.</w:t>
      </w:r>
    </w:p>
    <w:p w14:paraId="438AB895" w14:textId="77777777" w:rsidR="00EC1E26" w:rsidRDefault="00EC1E26" w:rsidP="00EC1E26">
      <w:pPr>
        <w:numPr>
          <w:ilvl w:val="0"/>
          <w:numId w:val="4"/>
        </w:numPr>
        <w:contextualSpacing/>
        <w:jc w:val="both"/>
        <w:rPr>
          <w:highlight w:val="white"/>
        </w:rPr>
      </w:pPr>
      <w:r>
        <w:rPr>
          <w:highlight w:val="white"/>
        </w:rPr>
        <w:t xml:space="preserve">Scott, David. "Colonial Governmentality." </w:t>
      </w:r>
      <w:r>
        <w:rPr>
          <w:i/>
          <w:highlight w:val="white"/>
        </w:rPr>
        <w:t>Social Text</w:t>
      </w:r>
      <w:r>
        <w:rPr>
          <w:highlight w:val="white"/>
        </w:rPr>
        <w:t xml:space="preserve"> 43.43 (1995): 191-220. </w:t>
      </w:r>
    </w:p>
    <w:p w14:paraId="3BD80CB6" w14:textId="77777777" w:rsidR="00EC1E26" w:rsidRDefault="00EC1E26" w:rsidP="00EC1E26">
      <w:pPr>
        <w:numPr>
          <w:ilvl w:val="0"/>
          <w:numId w:val="4"/>
        </w:numPr>
        <w:contextualSpacing/>
        <w:jc w:val="both"/>
        <w:rPr>
          <w:i/>
        </w:rPr>
      </w:pPr>
      <w:r>
        <w:t xml:space="preserve">Vincent Crapanzano, 1986, “Hermes’ Dilemma: The Masking of Subversion in Ethnographic Description” in </w:t>
      </w:r>
      <w:r>
        <w:rPr>
          <w:i/>
        </w:rPr>
        <w:t xml:space="preserve">Writing Culture: The Poetics and Politics of Ethnography </w:t>
      </w:r>
      <w:r>
        <w:t>(eds. Clifford and Marcus). [“All too often, the ethnographer forgets that the native cannot abide someone reading over his shoulder. If he does not close his book, he will cast his shadow over it.” - on Clifford Geertz]</w:t>
      </w:r>
    </w:p>
    <w:p w14:paraId="6A6C8120" w14:textId="77777777" w:rsidR="00EC1E26" w:rsidRDefault="00EC1E26" w:rsidP="00EC1E26">
      <w:pPr>
        <w:numPr>
          <w:ilvl w:val="0"/>
          <w:numId w:val="4"/>
        </w:numPr>
        <w:contextualSpacing/>
        <w:jc w:val="both"/>
      </w:pPr>
      <w:r>
        <w:t>Viveiros de Castro - Amerindian perspectivism</w:t>
      </w:r>
    </w:p>
    <w:p w14:paraId="5FA28EC0" w14:textId="77777777" w:rsidR="00EC1E26" w:rsidRDefault="00EC1E26" w:rsidP="00EC1E26">
      <w:pPr>
        <w:jc w:val="both"/>
        <w:rPr>
          <w:b/>
        </w:rPr>
      </w:pPr>
    </w:p>
    <w:p w14:paraId="7A4B4BB1" w14:textId="77777777" w:rsidR="00EC1E26" w:rsidRDefault="00EC1E26" w:rsidP="00EC1E26">
      <w:pPr>
        <w:jc w:val="both"/>
        <w:rPr>
          <w:b/>
        </w:rPr>
      </w:pPr>
      <w:r>
        <w:rPr>
          <w:b/>
        </w:rPr>
        <w:t>Ethnographic texts:</w:t>
      </w:r>
    </w:p>
    <w:p w14:paraId="35A3AD61" w14:textId="77777777" w:rsidR="00EC1E26" w:rsidRDefault="00EC1E26" w:rsidP="00EC1E26">
      <w:pPr>
        <w:numPr>
          <w:ilvl w:val="0"/>
          <w:numId w:val="3"/>
        </w:numPr>
        <w:contextualSpacing/>
        <w:jc w:val="both"/>
      </w:pPr>
      <w:r>
        <w:t>Abu-Lughod</w:t>
      </w:r>
    </w:p>
    <w:p w14:paraId="633F2140" w14:textId="77777777" w:rsidR="00EC1E26" w:rsidRDefault="00EC1E26" w:rsidP="00EC1E26">
      <w:pPr>
        <w:numPr>
          <w:ilvl w:val="1"/>
          <w:numId w:val="3"/>
        </w:numPr>
        <w:contextualSpacing/>
        <w:jc w:val="both"/>
      </w:pPr>
      <w:r>
        <w:t>Lila Abu-Lughod, 2002, “Do Muslim Women Really Need Saving? Anthropological Reflections on Cultural Relativism and Its Others”</w:t>
      </w:r>
    </w:p>
    <w:p w14:paraId="07EB8B3D" w14:textId="77777777" w:rsidR="00EC1E26" w:rsidRDefault="00EC1E26" w:rsidP="00EC1E26">
      <w:pPr>
        <w:numPr>
          <w:ilvl w:val="1"/>
          <w:numId w:val="3"/>
        </w:numPr>
        <w:contextualSpacing/>
        <w:jc w:val="both"/>
      </w:pPr>
      <w:r>
        <w:t>Lila Abu-Lughod, 1986,</w:t>
      </w:r>
      <w:r>
        <w:rPr>
          <w:i/>
        </w:rPr>
        <w:t xml:space="preserve"> Veiled Sentiments: Honor and Poetry in a Bedouin Society.</w:t>
      </w:r>
    </w:p>
    <w:p w14:paraId="724967B8" w14:textId="77777777" w:rsidR="00EC1E26" w:rsidRDefault="00EC1E26" w:rsidP="00EC1E26">
      <w:pPr>
        <w:numPr>
          <w:ilvl w:val="0"/>
          <w:numId w:val="3"/>
        </w:numPr>
        <w:contextualSpacing/>
        <w:jc w:val="both"/>
      </w:pPr>
      <w:r>
        <w:t xml:space="preserve">Apter, A. (2002) </w:t>
      </w:r>
      <w:hyperlink r:id="rId12" w:anchor="page_scan_tab_contents">
        <w:r>
          <w:rPr>
            <w:color w:val="1155CC"/>
            <w:u w:val="single"/>
          </w:rPr>
          <w:t>“On Imperial Spectacle: The Dialectics of Seeing in Colonial Nigeria”</w:t>
        </w:r>
      </w:hyperlink>
      <w:r>
        <w:t xml:space="preserve">. </w:t>
      </w:r>
      <w:r>
        <w:rPr>
          <w:i/>
        </w:rPr>
        <w:t>Comparative Studies in Society and History</w:t>
      </w:r>
      <w:r>
        <w:t xml:space="preserve"> 44(3), pp. 564-596.</w:t>
      </w:r>
    </w:p>
    <w:p w14:paraId="051CDF68" w14:textId="77777777" w:rsidR="00EC1E26" w:rsidRDefault="00EC1E26" w:rsidP="00EC1E26">
      <w:pPr>
        <w:numPr>
          <w:ilvl w:val="0"/>
          <w:numId w:val="3"/>
        </w:numPr>
        <w:contextualSpacing/>
        <w:jc w:val="both"/>
        <w:rPr>
          <w:color w:val="222222"/>
          <w:highlight w:val="white"/>
        </w:rPr>
      </w:pPr>
      <w:r>
        <w:rPr>
          <w:color w:val="222222"/>
          <w:highlight w:val="white"/>
        </w:rPr>
        <w:t xml:space="preserve">Campbell, H. (2015). Escaping identity: border zones as places of evasion and cultural reinvention. </w:t>
      </w:r>
      <w:r>
        <w:rPr>
          <w:i/>
          <w:color w:val="222222"/>
          <w:highlight w:val="white"/>
        </w:rPr>
        <w:t>Journal of the Royal Anthropological Institute</w:t>
      </w:r>
      <w:r>
        <w:rPr>
          <w:color w:val="222222"/>
          <w:highlight w:val="white"/>
        </w:rPr>
        <w:t xml:space="preserve">, </w:t>
      </w:r>
      <w:r>
        <w:rPr>
          <w:i/>
          <w:color w:val="222222"/>
          <w:highlight w:val="white"/>
        </w:rPr>
        <w:t>21</w:t>
      </w:r>
      <w:r>
        <w:rPr>
          <w:color w:val="222222"/>
          <w:highlight w:val="white"/>
        </w:rPr>
        <w:t>(2), 296-312.</w:t>
      </w:r>
    </w:p>
    <w:p w14:paraId="3FB33913" w14:textId="77777777" w:rsidR="00EC1E26" w:rsidRDefault="00EC1E26" w:rsidP="00EC1E26">
      <w:pPr>
        <w:numPr>
          <w:ilvl w:val="0"/>
          <w:numId w:val="3"/>
        </w:numPr>
        <w:contextualSpacing/>
        <w:jc w:val="both"/>
      </w:pPr>
      <w:r>
        <w:rPr>
          <w:color w:val="222222"/>
          <w:highlight w:val="white"/>
        </w:rPr>
        <w:t xml:space="preserve">Flynn, D. K. (1997). “We are the border”: identity, exchange, and the state along the Bénin‐Nigeria border. </w:t>
      </w:r>
      <w:r>
        <w:rPr>
          <w:i/>
          <w:color w:val="222222"/>
          <w:highlight w:val="white"/>
        </w:rPr>
        <w:t>American Ethnologist</w:t>
      </w:r>
      <w:r>
        <w:rPr>
          <w:color w:val="222222"/>
          <w:highlight w:val="white"/>
        </w:rPr>
        <w:t xml:space="preserve">, </w:t>
      </w:r>
      <w:r>
        <w:rPr>
          <w:i/>
          <w:color w:val="222222"/>
          <w:highlight w:val="white"/>
        </w:rPr>
        <w:t>24</w:t>
      </w:r>
      <w:r>
        <w:rPr>
          <w:color w:val="222222"/>
          <w:highlight w:val="white"/>
        </w:rPr>
        <w:t>(2), 311-330.</w:t>
      </w:r>
    </w:p>
    <w:p w14:paraId="59A172C1" w14:textId="77777777" w:rsidR="00EC1E26" w:rsidRDefault="00EC1E26" w:rsidP="00EC1E26">
      <w:pPr>
        <w:numPr>
          <w:ilvl w:val="0"/>
          <w:numId w:val="3"/>
        </w:numPr>
        <w:contextualSpacing/>
        <w:jc w:val="both"/>
      </w:pPr>
      <w:r>
        <w:rPr>
          <w:color w:val="222222"/>
          <w:highlight w:val="white"/>
        </w:rPr>
        <w:t xml:space="preserve">Mahmood, S. (2011). </w:t>
      </w:r>
      <w:hyperlink r:id="rId13">
        <w:r>
          <w:rPr>
            <w:i/>
            <w:color w:val="1155CC"/>
            <w:highlight w:val="white"/>
            <w:u w:val="single"/>
          </w:rPr>
          <w:t>Politics of piety: The Islamic revival and the feminist subject</w:t>
        </w:r>
      </w:hyperlink>
      <w:hyperlink r:id="rId14">
        <w:r>
          <w:rPr>
            <w:color w:val="1155CC"/>
            <w:highlight w:val="white"/>
            <w:u w:val="single"/>
          </w:rPr>
          <w:t>.</w:t>
        </w:r>
      </w:hyperlink>
      <w:r>
        <w:rPr>
          <w:color w:val="222222"/>
          <w:highlight w:val="white"/>
        </w:rPr>
        <w:t xml:space="preserve"> Princeton University Press.</w:t>
      </w:r>
    </w:p>
    <w:p w14:paraId="21BC42B0" w14:textId="77777777" w:rsidR="00EC1E26" w:rsidRDefault="00EC1E26" w:rsidP="00EC1E26">
      <w:pPr>
        <w:numPr>
          <w:ilvl w:val="0"/>
          <w:numId w:val="3"/>
        </w:numPr>
        <w:contextualSpacing/>
        <w:jc w:val="both"/>
        <w:rPr>
          <w:color w:val="222222"/>
          <w:highlight w:val="white"/>
        </w:rPr>
      </w:pPr>
      <w:r>
        <w:rPr>
          <w:color w:val="222222"/>
          <w:highlight w:val="white"/>
        </w:rPr>
        <w:t xml:space="preserve">Jaffe, R. (2013). The hybrid state: Crime and citizenship in urban Jamaica. </w:t>
      </w:r>
      <w:r>
        <w:rPr>
          <w:i/>
          <w:color w:val="222222"/>
          <w:highlight w:val="white"/>
        </w:rPr>
        <w:t>American Ethnologist</w:t>
      </w:r>
      <w:r>
        <w:rPr>
          <w:color w:val="222222"/>
          <w:highlight w:val="white"/>
        </w:rPr>
        <w:t xml:space="preserve">, </w:t>
      </w:r>
      <w:r>
        <w:rPr>
          <w:i/>
          <w:color w:val="222222"/>
          <w:highlight w:val="white"/>
        </w:rPr>
        <w:t>40</w:t>
      </w:r>
      <w:r>
        <w:rPr>
          <w:color w:val="222222"/>
          <w:highlight w:val="white"/>
        </w:rPr>
        <w:t>(4), 734-748.</w:t>
      </w:r>
    </w:p>
    <w:p w14:paraId="4E5714FB" w14:textId="77777777" w:rsidR="00EC1E26" w:rsidRDefault="00EC1E26" w:rsidP="00EC1E26">
      <w:pPr>
        <w:numPr>
          <w:ilvl w:val="0"/>
          <w:numId w:val="3"/>
        </w:numPr>
        <w:contextualSpacing/>
        <w:jc w:val="both"/>
        <w:rPr>
          <w:color w:val="222222"/>
          <w:highlight w:val="white"/>
        </w:rPr>
      </w:pPr>
      <w:r>
        <w:rPr>
          <w:color w:val="222222"/>
          <w:highlight w:val="white"/>
        </w:rPr>
        <w:t xml:space="preserve">Jones, R. (2009). Agents of exception: border security and the marginalization of Muslims in India. </w:t>
      </w:r>
      <w:r>
        <w:rPr>
          <w:i/>
          <w:color w:val="222222"/>
          <w:highlight w:val="white"/>
        </w:rPr>
        <w:t>Environment and Planning D: Society and Space</w:t>
      </w:r>
      <w:r>
        <w:rPr>
          <w:color w:val="222222"/>
          <w:highlight w:val="white"/>
        </w:rPr>
        <w:t xml:space="preserve">, </w:t>
      </w:r>
      <w:r>
        <w:rPr>
          <w:i/>
          <w:color w:val="222222"/>
          <w:highlight w:val="white"/>
        </w:rPr>
        <w:t>27</w:t>
      </w:r>
      <w:r>
        <w:rPr>
          <w:color w:val="222222"/>
          <w:highlight w:val="white"/>
        </w:rPr>
        <w:t>(5), 879-897.</w:t>
      </w:r>
    </w:p>
    <w:p w14:paraId="7DCCC01D" w14:textId="77777777" w:rsidR="00EC1E26" w:rsidRDefault="00EC1E26" w:rsidP="00EC1E26">
      <w:pPr>
        <w:numPr>
          <w:ilvl w:val="0"/>
          <w:numId w:val="3"/>
        </w:numPr>
        <w:contextualSpacing/>
        <w:jc w:val="both"/>
      </w:pPr>
      <w:r>
        <w:t xml:space="preserve">Poole, D. (1997) </w:t>
      </w:r>
      <w:hyperlink r:id="rId15">
        <w:r>
          <w:rPr>
            <w:i/>
            <w:color w:val="1155CC"/>
            <w:u w:val="single"/>
          </w:rPr>
          <w:t>Vision, Race, and Modernity: A Visual Economy of the Andean World.</w:t>
        </w:r>
      </w:hyperlink>
      <w:r>
        <w:rPr>
          <w:i/>
        </w:rPr>
        <w:t xml:space="preserve"> </w:t>
      </w:r>
      <w:r>
        <w:t>Princeton: Princeton University Press.</w:t>
      </w:r>
    </w:p>
    <w:p w14:paraId="32F31E0F" w14:textId="77777777" w:rsidR="00EC1E26" w:rsidRDefault="00EC1E26" w:rsidP="00EC1E26">
      <w:pPr>
        <w:numPr>
          <w:ilvl w:val="0"/>
          <w:numId w:val="3"/>
        </w:numPr>
        <w:contextualSpacing/>
        <w:jc w:val="both"/>
      </w:pPr>
      <w:r>
        <w:rPr>
          <w:color w:val="222222"/>
          <w:highlight w:val="white"/>
        </w:rPr>
        <w:t xml:space="preserve">Salter, M. B. (2006). The global visa regime and the political technologies of the international self: Borders, bodies, biopolitics. </w:t>
      </w:r>
      <w:r>
        <w:rPr>
          <w:i/>
          <w:color w:val="222222"/>
          <w:highlight w:val="white"/>
        </w:rPr>
        <w:t>Alternatives</w:t>
      </w:r>
      <w:r>
        <w:rPr>
          <w:color w:val="222222"/>
          <w:highlight w:val="white"/>
        </w:rPr>
        <w:t xml:space="preserve">, </w:t>
      </w:r>
      <w:r>
        <w:rPr>
          <w:i/>
          <w:color w:val="222222"/>
          <w:highlight w:val="white"/>
        </w:rPr>
        <w:t>31</w:t>
      </w:r>
      <w:r>
        <w:rPr>
          <w:color w:val="222222"/>
          <w:highlight w:val="white"/>
        </w:rPr>
        <w:t>(2), 167-189.</w:t>
      </w:r>
    </w:p>
    <w:p w14:paraId="33D4F34D" w14:textId="77777777" w:rsidR="00EC1E26" w:rsidRDefault="00EC1E26" w:rsidP="00EC1E26">
      <w:pPr>
        <w:numPr>
          <w:ilvl w:val="0"/>
          <w:numId w:val="3"/>
        </w:numPr>
        <w:contextualSpacing/>
        <w:jc w:val="both"/>
        <w:rPr>
          <w:color w:val="222222"/>
          <w:highlight w:val="white"/>
        </w:rPr>
      </w:pPr>
      <w:r>
        <w:rPr>
          <w:color w:val="222222"/>
          <w:highlight w:val="white"/>
        </w:rPr>
        <w:t xml:space="preserve">Sigona, N. (2015). Campzenship: Reimagining the camp as a social and political space. </w:t>
      </w:r>
      <w:r>
        <w:rPr>
          <w:i/>
          <w:color w:val="222222"/>
          <w:highlight w:val="white"/>
        </w:rPr>
        <w:t>Citizenship Studies</w:t>
      </w:r>
      <w:r>
        <w:rPr>
          <w:color w:val="222222"/>
          <w:highlight w:val="white"/>
        </w:rPr>
        <w:t xml:space="preserve">, </w:t>
      </w:r>
      <w:r>
        <w:rPr>
          <w:i/>
          <w:color w:val="222222"/>
          <w:highlight w:val="white"/>
        </w:rPr>
        <w:t>19</w:t>
      </w:r>
      <w:r>
        <w:rPr>
          <w:color w:val="222222"/>
          <w:highlight w:val="white"/>
        </w:rPr>
        <w:t>(1), 1-15.</w:t>
      </w:r>
    </w:p>
    <w:p w14:paraId="46143D1D" w14:textId="0700FFB9" w:rsidR="00D737F2" w:rsidRPr="00EC1E26" w:rsidRDefault="00BF5255">
      <w:pPr>
        <w:rPr>
          <w:lang w:val="en-GB"/>
        </w:rPr>
      </w:pPr>
    </w:p>
    <w:sectPr w:rsidR="00D737F2" w:rsidRPr="00EC1E2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969C" w14:textId="77777777" w:rsidR="00BF5255" w:rsidRDefault="00BF5255">
      <w:pPr>
        <w:spacing w:line="240" w:lineRule="auto"/>
      </w:pPr>
      <w:r>
        <w:separator/>
      </w:r>
    </w:p>
  </w:endnote>
  <w:endnote w:type="continuationSeparator" w:id="0">
    <w:p w14:paraId="2C31BF4F" w14:textId="77777777" w:rsidR="00BF5255" w:rsidRDefault="00BF5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8D37B" w14:textId="77777777" w:rsidR="003F1E81" w:rsidRDefault="00BF5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AA085" w14:textId="77777777" w:rsidR="003F1E81" w:rsidRDefault="00BF5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EA95" w14:textId="77777777" w:rsidR="003F1E81" w:rsidRDefault="00BF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AAE5A" w14:textId="77777777" w:rsidR="00BF5255" w:rsidRDefault="00BF5255">
      <w:pPr>
        <w:spacing w:line="240" w:lineRule="auto"/>
      </w:pPr>
      <w:r>
        <w:separator/>
      </w:r>
    </w:p>
  </w:footnote>
  <w:footnote w:type="continuationSeparator" w:id="0">
    <w:p w14:paraId="43D7E9DC" w14:textId="77777777" w:rsidR="00BF5255" w:rsidRDefault="00BF52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A040" w14:textId="77777777" w:rsidR="003F1E81" w:rsidRDefault="00BF5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E79B" w14:textId="77777777" w:rsidR="00F332BB" w:rsidRDefault="00BF52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7FE3" w14:textId="77777777" w:rsidR="003F1E81" w:rsidRDefault="00BF5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3127D"/>
    <w:multiLevelType w:val="multilevel"/>
    <w:tmpl w:val="D8002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173B6E"/>
    <w:multiLevelType w:val="multilevel"/>
    <w:tmpl w:val="708E5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247339"/>
    <w:multiLevelType w:val="multilevel"/>
    <w:tmpl w:val="344EF8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5406FA6"/>
    <w:multiLevelType w:val="multilevel"/>
    <w:tmpl w:val="F1CA6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26"/>
    <w:rsid w:val="00487E95"/>
    <w:rsid w:val="005C4C8B"/>
    <w:rsid w:val="008E5998"/>
    <w:rsid w:val="00BF5255"/>
    <w:rsid w:val="00D323C0"/>
    <w:rsid w:val="00EC1E2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9898"/>
  <w15:chartTrackingRefBased/>
  <w15:docId w15:val="{6ADD6B1D-8FC6-BA4F-BE74-91DA26B0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E26"/>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EC1E26"/>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E26"/>
    <w:rPr>
      <w:rFonts w:ascii="Arial" w:eastAsia="Arial" w:hAnsi="Arial" w:cs="Arial"/>
      <w:sz w:val="40"/>
      <w:szCs w:val="40"/>
      <w:lang w:val="en"/>
    </w:rPr>
  </w:style>
  <w:style w:type="paragraph" w:styleId="Header">
    <w:name w:val="header"/>
    <w:basedOn w:val="Normal"/>
    <w:link w:val="HeaderChar"/>
    <w:uiPriority w:val="99"/>
    <w:unhideWhenUsed/>
    <w:rsid w:val="00EC1E26"/>
    <w:pPr>
      <w:tabs>
        <w:tab w:val="center" w:pos="4680"/>
        <w:tab w:val="right" w:pos="9360"/>
      </w:tabs>
      <w:spacing w:line="240" w:lineRule="auto"/>
    </w:pPr>
  </w:style>
  <w:style w:type="character" w:customStyle="1" w:styleId="HeaderChar">
    <w:name w:val="Header Char"/>
    <w:basedOn w:val="DefaultParagraphFont"/>
    <w:link w:val="Header"/>
    <w:uiPriority w:val="99"/>
    <w:rsid w:val="00EC1E26"/>
    <w:rPr>
      <w:rFonts w:ascii="Arial" w:eastAsia="Arial" w:hAnsi="Arial" w:cs="Arial"/>
      <w:sz w:val="22"/>
      <w:szCs w:val="22"/>
      <w:lang w:val="en"/>
    </w:rPr>
  </w:style>
  <w:style w:type="paragraph" w:styleId="Footer">
    <w:name w:val="footer"/>
    <w:basedOn w:val="Normal"/>
    <w:link w:val="FooterChar"/>
    <w:uiPriority w:val="99"/>
    <w:unhideWhenUsed/>
    <w:rsid w:val="00EC1E26"/>
    <w:pPr>
      <w:tabs>
        <w:tab w:val="center" w:pos="4680"/>
        <w:tab w:val="right" w:pos="9360"/>
      </w:tabs>
      <w:spacing w:line="240" w:lineRule="auto"/>
    </w:pPr>
  </w:style>
  <w:style w:type="character" w:customStyle="1" w:styleId="FooterChar">
    <w:name w:val="Footer Char"/>
    <w:basedOn w:val="DefaultParagraphFont"/>
    <w:link w:val="Footer"/>
    <w:uiPriority w:val="99"/>
    <w:rsid w:val="00EC1E26"/>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ageminds.org/2016/04/19/decolonizing-anthropology/" TargetMode="External"/><Relationship Id="rId13" Type="http://schemas.openxmlformats.org/officeDocument/2006/relationships/hyperlink" Target="https://books.google.ch/books/about/Politics_of_Piety.html?id=B2K1QgAACAAJ&amp;source=kp_book_description&amp;redir_es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hamtramckfreeschool.files.wordpress.com/2014/05/lugones-maria-heterosexualism-and-the-colonial-modern-gender-system.pdf" TargetMode="External"/><Relationship Id="rId12" Type="http://schemas.openxmlformats.org/officeDocument/2006/relationships/hyperlink" Target="https://www.jstor.org/stable/3879380?seq=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303552953_Visual_Imperialism_and_the_Export_of_Prejudice_An_Exploration_of_Ethnographic_Film" TargetMode="External"/><Relationship Id="rId5" Type="http://schemas.openxmlformats.org/officeDocument/2006/relationships/footnotes" Target="footnotes.xml"/><Relationship Id="rId15" Type="http://schemas.openxmlformats.org/officeDocument/2006/relationships/hyperlink" Target="https://books.google.co.uk/books?hl=en&amp;lr=&amp;id=GGd85kLZma0C" TargetMode="External"/><Relationship Id="rId23" Type="http://schemas.openxmlformats.org/officeDocument/2006/relationships/theme" Target="theme/theme1.xml"/><Relationship Id="rId10" Type="http://schemas.openxmlformats.org/officeDocument/2006/relationships/hyperlink" Target="https://www.haujournal.org/index.php/hau/issue/view/hau7.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journals.sub.uni-hamburg.de/giga/afsp/article/view/551/549" TargetMode="External"/><Relationship Id="rId14" Type="http://schemas.openxmlformats.org/officeDocument/2006/relationships/hyperlink" Target="https://books.google.ch/books/about/Politics_of_Piety.html?id=B2K1QgAACAAJ&amp;source=kp_book_description&amp;redir_es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2018-12-03T11:57:00Z</dcterms:created>
  <dcterms:modified xsi:type="dcterms:W3CDTF">2018-12-03T12:01:00Z</dcterms:modified>
</cp:coreProperties>
</file>