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662"/>
        <w:gridCol w:w="2977"/>
      </w:tblGrid>
      <w:tr w:rsidR="00F912BB" w:rsidRPr="00615180" w14:paraId="05A787F2" w14:textId="77777777" w:rsidTr="00A26CBA">
        <w:trPr>
          <w:trHeight w:val="980"/>
        </w:trPr>
        <w:tc>
          <w:tcPr>
            <w:tcW w:w="3456" w:type="pct"/>
            <w:shd w:val="clear" w:color="auto" w:fill="auto"/>
          </w:tcPr>
          <w:p w14:paraId="3E666B91" w14:textId="33FFF927" w:rsidR="00F912BB" w:rsidRPr="00615180" w:rsidRDefault="00F912BB" w:rsidP="00D3169E">
            <w:pPr>
              <w:contextualSpacing/>
              <w:jc w:val="both"/>
              <w:rPr>
                <w:i/>
                <w:sz w:val="22"/>
                <w:szCs w:val="22"/>
              </w:rPr>
            </w:pPr>
          </w:p>
        </w:tc>
        <w:tc>
          <w:tcPr>
            <w:tcW w:w="1544" w:type="pct"/>
            <w:shd w:val="clear" w:color="auto" w:fill="auto"/>
          </w:tcPr>
          <w:p w14:paraId="7A395CBC" w14:textId="7E061D7D" w:rsidR="00F912BB" w:rsidRPr="00615180" w:rsidRDefault="00F912BB" w:rsidP="00D3169E">
            <w:pPr>
              <w:pStyle w:val="Header"/>
              <w:contextualSpacing/>
              <w:jc w:val="both"/>
              <w:rPr>
                <w:sz w:val="22"/>
                <w:szCs w:val="22"/>
              </w:rPr>
            </w:pPr>
          </w:p>
        </w:tc>
      </w:tr>
    </w:tbl>
    <w:p w14:paraId="6F3B72DB" w14:textId="65711A7D" w:rsidR="005F686B" w:rsidRPr="00615180" w:rsidRDefault="001E6176" w:rsidP="00615180">
      <w:pPr>
        <w:jc w:val="center"/>
        <w:rPr>
          <w:b/>
          <w:bCs/>
          <w:sz w:val="22"/>
          <w:szCs w:val="22"/>
        </w:rPr>
      </w:pPr>
      <w:r w:rsidRPr="00615180">
        <w:rPr>
          <w:b/>
          <w:bCs/>
          <w:sz w:val="22"/>
          <w:szCs w:val="22"/>
        </w:rPr>
        <w:t>Post</w:t>
      </w:r>
      <w:r w:rsidR="00010FBE" w:rsidRPr="00615180">
        <w:rPr>
          <w:b/>
          <w:bCs/>
          <w:sz w:val="22"/>
          <w:szCs w:val="22"/>
        </w:rPr>
        <w:t>-C</w:t>
      </w:r>
      <w:r w:rsidRPr="00615180">
        <w:rPr>
          <w:b/>
          <w:bCs/>
          <w:sz w:val="22"/>
          <w:szCs w:val="22"/>
        </w:rPr>
        <w:t>olonial</w:t>
      </w:r>
      <w:r w:rsidR="007F45D5">
        <w:rPr>
          <w:b/>
          <w:bCs/>
          <w:sz w:val="22"/>
          <w:szCs w:val="22"/>
        </w:rPr>
        <w:t xml:space="preserve"> and </w:t>
      </w:r>
      <w:proofErr w:type="spellStart"/>
      <w:r w:rsidR="007F45D5">
        <w:rPr>
          <w:b/>
          <w:bCs/>
          <w:sz w:val="22"/>
          <w:szCs w:val="22"/>
        </w:rPr>
        <w:t>Decoonial</w:t>
      </w:r>
      <w:proofErr w:type="spellEnd"/>
      <w:r w:rsidRPr="00615180">
        <w:rPr>
          <w:b/>
          <w:bCs/>
          <w:sz w:val="22"/>
          <w:szCs w:val="22"/>
        </w:rPr>
        <w:t xml:space="preserve"> </w:t>
      </w:r>
      <w:r w:rsidR="007F45D5">
        <w:rPr>
          <w:b/>
          <w:bCs/>
          <w:sz w:val="22"/>
          <w:szCs w:val="22"/>
        </w:rPr>
        <w:t>Perspectives</w:t>
      </w:r>
      <w:r w:rsidRPr="00615180">
        <w:rPr>
          <w:b/>
          <w:bCs/>
          <w:sz w:val="22"/>
          <w:szCs w:val="22"/>
        </w:rPr>
        <w:t xml:space="preserve"> to the study of Forced Migration</w:t>
      </w:r>
    </w:p>
    <w:p w14:paraId="4F088AE6" w14:textId="77777777" w:rsidR="005F686B" w:rsidRPr="00615180" w:rsidRDefault="005F686B" w:rsidP="007F45D5">
      <w:pPr>
        <w:jc w:val="center"/>
        <w:rPr>
          <w:b/>
          <w:bCs/>
          <w:sz w:val="22"/>
          <w:szCs w:val="22"/>
        </w:rPr>
      </w:pPr>
    </w:p>
    <w:p w14:paraId="27B57453" w14:textId="57F00A11" w:rsidR="00E26C0E" w:rsidRDefault="005F686B" w:rsidP="007F45D5">
      <w:pPr>
        <w:jc w:val="center"/>
        <w:rPr>
          <w:b/>
          <w:bCs/>
          <w:sz w:val="22"/>
          <w:szCs w:val="22"/>
        </w:rPr>
      </w:pPr>
      <w:r w:rsidRPr="00615180">
        <w:rPr>
          <w:b/>
          <w:bCs/>
          <w:sz w:val="22"/>
          <w:szCs w:val="22"/>
        </w:rPr>
        <w:t>‘</w:t>
      </w:r>
      <w:r w:rsidR="00EC1FC1" w:rsidRPr="00615180">
        <w:rPr>
          <w:b/>
          <w:bCs/>
          <w:sz w:val="22"/>
          <w:szCs w:val="22"/>
        </w:rPr>
        <w:t>Mis</w:t>
      </w:r>
      <w:bookmarkStart w:id="0" w:name="_GoBack"/>
      <w:bookmarkEnd w:id="0"/>
      <w:r w:rsidR="00EC1FC1" w:rsidRPr="00615180">
        <w:rPr>
          <w:b/>
          <w:bCs/>
          <w:sz w:val="22"/>
          <w:szCs w:val="22"/>
        </w:rPr>
        <w:t>tress-class</w:t>
      </w:r>
      <w:r w:rsidRPr="00615180">
        <w:rPr>
          <w:b/>
          <w:bCs/>
          <w:sz w:val="22"/>
          <w:szCs w:val="22"/>
        </w:rPr>
        <w:t>’</w:t>
      </w:r>
      <w:r w:rsidR="00EC1FC1" w:rsidRPr="00615180">
        <w:rPr>
          <w:b/>
          <w:bCs/>
          <w:sz w:val="22"/>
          <w:szCs w:val="22"/>
        </w:rPr>
        <w:t xml:space="preserve"> with Dr Lucy Mayblin</w:t>
      </w:r>
    </w:p>
    <w:p w14:paraId="2146CE8C" w14:textId="346E9BB7" w:rsidR="007F45D5" w:rsidRPr="00615180" w:rsidRDefault="007F45D5" w:rsidP="007F45D5">
      <w:pPr>
        <w:jc w:val="center"/>
        <w:rPr>
          <w:b/>
          <w:bCs/>
          <w:sz w:val="22"/>
          <w:szCs w:val="22"/>
        </w:rPr>
      </w:pPr>
      <w:r>
        <w:rPr>
          <w:b/>
          <w:bCs/>
          <w:sz w:val="22"/>
          <w:szCs w:val="22"/>
        </w:rPr>
        <w:t>MSc Forced Migration, Refugee Studies Centre, Spring 2019</w:t>
      </w:r>
    </w:p>
    <w:p w14:paraId="773C55B6" w14:textId="77777777" w:rsidR="00E26C0E" w:rsidRPr="00615180" w:rsidRDefault="00E26C0E" w:rsidP="00D3169E">
      <w:pPr>
        <w:jc w:val="both"/>
        <w:rPr>
          <w:sz w:val="22"/>
          <w:szCs w:val="22"/>
        </w:rPr>
      </w:pPr>
    </w:p>
    <w:p w14:paraId="1A340A2E" w14:textId="58E0BC1F" w:rsidR="005F686B" w:rsidRPr="00615180" w:rsidRDefault="005F686B" w:rsidP="00D3169E">
      <w:pPr>
        <w:shd w:val="clear" w:color="auto" w:fill="FFFFFF"/>
        <w:jc w:val="both"/>
        <w:rPr>
          <w:sz w:val="22"/>
          <w:szCs w:val="22"/>
        </w:rPr>
      </w:pPr>
      <w:r w:rsidRPr="00615180">
        <w:rPr>
          <w:sz w:val="22"/>
          <w:szCs w:val="22"/>
        </w:rPr>
        <w:t>This week introduces students to post and de-colonial theory, exploring its impact on and relevance to</w:t>
      </w:r>
      <w:r w:rsidR="00AF2DD2" w:rsidRPr="00615180">
        <w:rPr>
          <w:sz w:val="22"/>
          <w:szCs w:val="22"/>
        </w:rPr>
        <w:t>,</w:t>
      </w:r>
      <w:r w:rsidRPr="00615180">
        <w:rPr>
          <w:sz w:val="22"/>
          <w:szCs w:val="22"/>
        </w:rPr>
        <w:t xml:space="preserve"> the study of forced migration and its gendered subjects. </w:t>
      </w:r>
      <w:r w:rsidRPr="00615180">
        <w:rPr>
          <w:rFonts w:eastAsia="Calibri"/>
          <w:sz w:val="22"/>
          <w:szCs w:val="22"/>
        </w:rPr>
        <w:t>The course’s poster competition is introduced.</w:t>
      </w:r>
    </w:p>
    <w:p w14:paraId="24B3A659" w14:textId="200AB9B2" w:rsidR="005F686B" w:rsidRPr="00615180" w:rsidRDefault="005F686B" w:rsidP="00D3169E">
      <w:pPr>
        <w:autoSpaceDE w:val="0"/>
        <w:autoSpaceDN w:val="0"/>
        <w:adjustRightInd w:val="0"/>
        <w:snapToGrid w:val="0"/>
        <w:jc w:val="both"/>
        <w:rPr>
          <w:sz w:val="22"/>
          <w:szCs w:val="22"/>
          <w:lang w:val="x-none"/>
        </w:rPr>
      </w:pPr>
    </w:p>
    <w:p w14:paraId="1B017BB3" w14:textId="26A9001A" w:rsidR="005F686B" w:rsidRPr="00615180" w:rsidRDefault="005F686B" w:rsidP="00D3169E">
      <w:pPr>
        <w:autoSpaceDE w:val="0"/>
        <w:autoSpaceDN w:val="0"/>
        <w:adjustRightInd w:val="0"/>
        <w:snapToGrid w:val="0"/>
        <w:jc w:val="both"/>
        <w:rPr>
          <w:sz w:val="22"/>
          <w:szCs w:val="22"/>
        </w:rPr>
      </w:pPr>
      <w:r w:rsidRPr="00615180">
        <w:rPr>
          <w:sz w:val="22"/>
          <w:szCs w:val="22"/>
        </w:rPr>
        <w:t>*Indicative reading</w:t>
      </w:r>
      <w:r w:rsidR="00342B5D" w:rsidRPr="00615180">
        <w:rPr>
          <w:sz w:val="22"/>
          <w:szCs w:val="22"/>
        </w:rPr>
        <w:t>s</w:t>
      </w:r>
      <w:r w:rsidRPr="00615180">
        <w:rPr>
          <w:sz w:val="22"/>
          <w:szCs w:val="22"/>
        </w:rPr>
        <w:t xml:space="preserve">*: </w:t>
      </w:r>
    </w:p>
    <w:p w14:paraId="5784A4EB" w14:textId="77777777" w:rsidR="00C53F74" w:rsidRPr="00615180" w:rsidRDefault="00C53F74" w:rsidP="00D3169E">
      <w:pPr>
        <w:autoSpaceDE w:val="0"/>
        <w:autoSpaceDN w:val="0"/>
        <w:adjustRightInd w:val="0"/>
        <w:snapToGrid w:val="0"/>
        <w:jc w:val="both"/>
        <w:rPr>
          <w:sz w:val="22"/>
          <w:szCs w:val="22"/>
        </w:rPr>
      </w:pPr>
    </w:p>
    <w:p w14:paraId="19F16831" w14:textId="140DE4A2" w:rsidR="00C53F74" w:rsidRPr="00615180" w:rsidRDefault="00C53F74" w:rsidP="00D3169E">
      <w:pPr>
        <w:autoSpaceDE w:val="0"/>
        <w:autoSpaceDN w:val="0"/>
        <w:adjustRightInd w:val="0"/>
        <w:snapToGrid w:val="0"/>
        <w:jc w:val="both"/>
        <w:rPr>
          <w:i/>
          <w:sz w:val="22"/>
          <w:szCs w:val="22"/>
        </w:rPr>
      </w:pPr>
      <w:r w:rsidRPr="00615180">
        <w:rPr>
          <w:i/>
          <w:sz w:val="22"/>
          <w:szCs w:val="22"/>
        </w:rPr>
        <w:t>Legal materials:</w:t>
      </w:r>
    </w:p>
    <w:p w14:paraId="6DC16DF3" w14:textId="77777777" w:rsidR="005D2D5D" w:rsidRPr="00615180" w:rsidRDefault="005D2D5D" w:rsidP="00D3169E">
      <w:pPr>
        <w:autoSpaceDE w:val="0"/>
        <w:autoSpaceDN w:val="0"/>
        <w:adjustRightInd w:val="0"/>
        <w:snapToGrid w:val="0"/>
        <w:jc w:val="both"/>
        <w:rPr>
          <w:sz w:val="22"/>
          <w:szCs w:val="22"/>
        </w:rPr>
      </w:pPr>
    </w:p>
    <w:p w14:paraId="38DFA813" w14:textId="43DF6F66" w:rsidR="00342B5D" w:rsidRPr="00615180" w:rsidRDefault="00C53F74" w:rsidP="00D3169E">
      <w:pPr>
        <w:autoSpaceDE w:val="0"/>
        <w:autoSpaceDN w:val="0"/>
        <w:adjustRightInd w:val="0"/>
        <w:snapToGrid w:val="0"/>
        <w:jc w:val="both"/>
        <w:rPr>
          <w:sz w:val="22"/>
          <w:szCs w:val="22"/>
        </w:rPr>
      </w:pPr>
      <w:r w:rsidRPr="00615180">
        <w:rPr>
          <w:sz w:val="22"/>
          <w:szCs w:val="22"/>
        </w:rPr>
        <w:t xml:space="preserve">*CSR 1951, </w:t>
      </w:r>
      <w:r w:rsidR="00342B5D" w:rsidRPr="00615180">
        <w:rPr>
          <w:sz w:val="22"/>
          <w:szCs w:val="22"/>
        </w:rPr>
        <w:t xml:space="preserve">Article 1A and </w:t>
      </w:r>
      <w:r w:rsidRPr="00615180">
        <w:rPr>
          <w:sz w:val="22"/>
          <w:szCs w:val="22"/>
        </w:rPr>
        <w:t xml:space="preserve">Article 40, </w:t>
      </w:r>
    </w:p>
    <w:p w14:paraId="04B5C8E8" w14:textId="77777777" w:rsidR="005D2D5D" w:rsidRPr="00615180" w:rsidRDefault="00F0601B" w:rsidP="00D3169E">
      <w:pPr>
        <w:autoSpaceDE w:val="0"/>
        <w:autoSpaceDN w:val="0"/>
        <w:adjustRightInd w:val="0"/>
        <w:snapToGrid w:val="0"/>
        <w:spacing w:before="52"/>
        <w:jc w:val="both"/>
        <w:rPr>
          <w:color w:val="000000"/>
          <w:sz w:val="22"/>
          <w:szCs w:val="22"/>
          <w:lang w:eastAsia="en-US"/>
        </w:rPr>
      </w:pPr>
      <w:hyperlink r:id="rId7" w:history="1">
        <w:r w:rsidR="005D2D5D" w:rsidRPr="00615180">
          <w:rPr>
            <w:rStyle w:val="Hyperlink"/>
            <w:sz w:val="22"/>
            <w:szCs w:val="22"/>
            <w:lang w:val="x-none" w:eastAsia="en-US"/>
          </w:rPr>
          <w:t>http://www.unhcr.org/3b66c2aa10.html</w:t>
        </w:r>
      </w:hyperlink>
      <w:r w:rsidR="005D2D5D" w:rsidRPr="00615180">
        <w:rPr>
          <w:color w:val="000000"/>
          <w:sz w:val="22"/>
          <w:szCs w:val="22"/>
          <w:lang w:eastAsia="en-US"/>
        </w:rPr>
        <w:t xml:space="preserve"> </w:t>
      </w:r>
    </w:p>
    <w:p w14:paraId="7233B6E8" w14:textId="77777777" w:rsidR="00342B5D" w:rsidRPr="00615180" w:rsidRDefault="00342B5D" w:rsidP="00D3169E">
      <w:pPr>
        <w:autoSpaceDE w:val="0"/>
        <w:autoSpaceDN w:val="0"/>
        <w:adjustRightInd w:val="0"/>
        <w:snapToGrid w:val="0"/>
        <w:jc w:val="both"/>
        <w:rPr>
          <w:sz w:val="22"/>
          <w:szCs w:val="22"/>
        </w:rPr>
      </w:pPr>
    </w:p>
    <w:p w14:paraId="20205DB1" w14:textId="65F39F50" w:rsidR="00C53F74" w:rsidRPr="00615180" w:rsidRDefault="00342B5D" w:rsidP="00D3169E">
      <w:pPr>
        <w:autoSpaceDE w:val="0"/>
        <w:autoSpaceDN w:val="0"/>
        <w:adjustRightInd w:val="0"/>
        <w:snapToGrid w:val="0"/>
        <w:ind w:left="360"/>
        <w:jc w:val="both"/>
        <w:rPr>
          <w:sz w:val="22"/>
          <w:szCs w:val="22"/>
        </w:rPr>
      </w:pPr>
      <w:r w:rsidRPr="00615180">
        <w:rPr>
          <w:sz w:val="22"/>
          <w:szCs w:val="22"/>
        </w:rPr>
        <w:t xml:space="preserve">Article 40: </w:t>
      </w:r>
      <w:r w:rsidR="00C53F74" w:rsidRPr="00615180">
        <w:rPr>
          <w:sz w:val="22"/>
          <w:szCs w:val="22"/>
        </w:rPr>
        <w:t>Territorial Application Clause:</w:t>
      </w:r>
    </w:p>
    <w:p w14:paraId="3798EE13" w14:textId="0A031CA3" w:rsidR="00C53F74" w:rsidRPr="00615180" w:rsidRDefault="00C53F74" w:rsidP="00D3169E">
      <w:pPr>
        <w:pStyle w:val="ListParagraph"/>
        <w:numPr>
          <w:ilvl w:val="0"/>
          <w:numId w:val="18"/>
        </w:numPr>
        <w:autoSpaceDE w:val="0"/>
        <w:autoSpaceDN w:val="0"/>
        <w:adjustRightInd w:val="0"/>
        <w:snapToGrid w:val="0"/>
        <w:ind w:left="1080"/>
        <w:jc w:val="both"/>
        <w:rPr>
          <w:sz w:val="22"/>
          <w:szCs w:val="22"/>
        </w:rPr>
      </w:pPr>
      <w:r w:rsidRPr="00615180">
        <w:rPr>
          <w:sz w:val="22"/>
          <w:szCs w:val="22"/>
        </w:rPr>
        <w:t xml:space="preserve">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 </w:t>
      </w:r>
    </w:p>
    <w:p w14:paraId="7498B78C" w14:textId="13F3EE93" w:rsidR="00C53F74" w:rsidRPr="00615180" w:rsidRDefault="00C53F74" w:rsidP="00D3169E">
      <w:pPr>
        <w:pStyle w:val="ListParagraph"/>
        <w:numPr>
          <w:ilvl w:val="0"/>
          <w:numId w:val="18"/>
        </w:numPr>
        <w:autoSpaceDE w:val="0"/>
        <w:autoSpaceDN w:val="0"/>
        <w:adjustRightInd w:val="0"/>
        <w:snapToGrid w:val="0"/>
        <w:ind w:left="1080"/>
        <w:jc w:val="both"/>
        <w:rPr>
          <w:sz w:val="22"/>
          <w:szCs w:val="22"/>
        </w:rPr>
      </w:pPr>
      <w:r w:rsidRPr="00615180">
        <w:rPr>
          <w:sz w:val="22"/>
          <w:szCs w:val="22"/>
        </w:rPr>
        <w:t xml:space="preserve">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 </w:t>
      </w:r>
    </w:p>
    <w:p w14:paraId="6926B8E4" w14:textId="14A9EC65" w:rsidR="000B6061" w:rsidRPr="00615180" w:rsidRDefault="00C53F74" w:rsidP="00D3169E">
      <w:pPr>
        <w:pStyle w:val="ListParagraph"/>
        <w:numPr>
          <w:ilvl w:val="0"/>
          <w:numId w:val="18"/>
        </w:numPr>
        <w:autoSpaceDE w:val="0"/>
        <w:autoSpaceDN w:val="0"/>
        <w:adjustRightInd w:val="0"/>
        <w:snapToGrid w:val="0"/>
        <w:ind w:left="1080"/>
        <w:jc w:val="both"/>
        <w:rPr>
          <w:rStyle w:val="Hyperlink"/>
          <w:color w:val="auto"/>
          <w:sz w:val="22"/>
          <w:szCs w:val="22"/>
          <w:u w:val="none"/>
        </w:rPr>
      </w:pPr>
      <w:r w:rsidRPr="00615180">
        <w:rPr>
          <w:sz w:val="22"/>
          <w:szCs w:val="22"/>
        </w:rPr>
        <w:t>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w:t>
      </w:r>
    </w:p>
    <w:p w14:paraId="77D7B592" w14:textId="77777777" w:rsidR="00C53F74" w:rsidRPr="00615180" w:rsidRDefault="00C53F74" w:rsidP="00D3169E">
      <w:pPr>
        <w:autoSpaceDE w:val="0"/>
        <w:autoSpaceDN w:val="0"/>
        <w:adjustRightInd w:val="0"/>
        <w:snapToGrid w:val="0"/>
        <w:jc w:val="both"/>
        <w:rPr>
          <w:sz w:val="22"/>
          <w:szCs w:val="22"/>
        </w:rPr>
      </w:pPr>
    </w:p>
    <w:p w14:paraId="2DF94F7F" w14:textId="10C9DF7D" w:rsidR="00C53F74" w:rsidRPr="00615180" w:rsidRDefault="005326C3" w:rsidP="00D3169E">
      <w:pPr>
        <w:autoSpaceDE w:val="0"/>
        <w:autoSpaceDN w:val="0"/>
        <w:adjustRightInd w:val="0"/>
        <w:snapToGrid w:val="0"/>
        <w:jc w:val="both"/>
        <w:rPr>
          <w:sz w:val="22"/>
          <w:szCs w:val="22"/>
        </w:rPr>
      </w:pPr>
      <w:r w:rsidRPr="00615180">
        <w:rPr>
          <w:sz w:val="22"/>
          <w:szCs w:val="22"/>
        </w:rPr>
        <w:t xml:space="preserve">*ECHR 1950, Article 65. </w:t>
      </w:r>
    </w:p>
    <w:p w14:paraId="212DBD6B" w14:textId="6D7415FA" w:rsidR="00C53F74" w:rsidRPr="00615180" w:rsidRDefault="00F0601B" w:rsidP="00D3169E">
      <w:pPr>
        <w:autoSpaceDE w:val="0"/>
        <w:autoSpaceDN w:val="0"/>
        <w:adjustRightInd w:val="0"/>
        <w:snapToGrid w:val="0"/>
        <w:jc w:val="both"/>
        <w:rPr>
          <w:sz w:val="22"/>
          <w:szCs w:val="22"/>
        </w:rPr>
      </w:pPr>
      <w:hyperlink r:id="rId8" w:history="1">
        <w:r w:rsidR="000B6061" w:rsidRPr="00615180">
          <w:rPr>
            <w:rStyle w:val="Hyperlink"/>
            <w:sz w:val="22"/>
            <w:szCs w:val="22"/>
          </w:rPr>
          <w:t>https://www.echr.coe.int/Documents/Convention_ENG.pdf</w:t>
        </w:r>
      </w:hyperlink>
      <w:r w:rsidR="000B6061" w:rsidRPr="00615180">
        <w:rPr>
          <w:sz w:val="22"/>
          <w:szCs w:val="22"/>
        </w:rPr>
        <w:t xml:space="preserve"> </w:t>
      </w:r>
    </w:p>
    <w:p w14:paraId="241B3504" w14:textId="77777777" w:rsidR="000B6061" w:rsidRPr="00615180" w:rsidRDefault="000B6061" w:rsidP="00D3169E">
      <w:pPr>
        <w:autoSpaceDE w:val="0"/>
        <w:autoSpaceDN w:val="0"/>
        <w:adjustRightInd w:val="0"/>
        <w:snapToGrid w:val="0"/>
        <w:jc w:val="both"/>
        <w:rPr>
          <w:i/>
          <w:sz w:val="22"/>
          <w:szCs w:val="22"/>
        </w:rPr>
      </w:pPr>
    </w:p>
    <w:p w14:paraId="062500E3" w14:textId="77777777" w:rsidR="0038583F" w:rsidRDefault="00AC4077" w:rsidP="00D3169E">
      <w:pPr>
        <w:autoSpaceDE w:val="0"/>
        <w:autoSpaceDN w:val="0"/>
        <w:adjustRightInd w:val="0"/>
        <w:snapToGrid w:val="0"/>
        <w:jc w:val="both"/>
        <w:rPr>
          <w:i/>
          <w:sz w:val="22"/>
          <w:szCs w:val="22"/>
        </w:rPr>
      </w:pPr>
      <w:r w:rsidRPr="00615180">
        <w:rPr>
          <w:i/>
          <w:sz w:val="22"/>
          <w:szCs w:val="22"/>
        </w:rPr>
        <w:t xml:space="preserve">Essential </w:t>
      </w:r>
      <w:r w:rsidR="0038583F">
        <w:rPr>
          <w:i/>
          <w:sz w:val="22"/>
          <w:szCs w:val="22"/>
        </w:rPr>
        <w:t>readings</w:t>
      </w:r>
    </w:p>
    <w:p w14:paraId="761B0C7A" w14:textId="247B5BD3" w:rsidR="0038583F" w:rsidRPr="003311B4" w:rsidRDefault="0038583F" w:rsidP="003311B4">
      <w:pPr>
        <w:pStyle w:val="ListParagraph"/>
        <w:numPr>
          <w:ilvl w:val="0"/>
          <w:numId w:val="21"/>
        </w:numPr>
        <w:jc w:val="both"/>
        <w:rPr>
          <w:sz w:val="22"/>
          <w:szCs w:val="22"/>
        </w:rPr>
      </w:pPr>
      <w:r w:rsidRPr="003311B4">
        <w:rPr>
          <w:noProof/>
          <w:sz w:val="22"/>
          <w:szCs w:val="22"/>
        </w:rPr>
        <w:t>Chimni B</w:t>
      </w:r>
      <w:r w:rsidR="008F5A68" w:rsidRPr="003311B4">
        <w:rPr>
          <w:noProof/>
          <w:sz w:val="22"/>
          <w:szCs w:val="22"/>
        </w:rPr>
        <w:t>.</w:t>
      </w:r>
      <w:r w:rsidRPr="003311B4">
        <w:rPr>
          <w:noProof/>
          <w:sz w:val="22"/>
          <w:szCs w:val="22"/>
        </w:rPr>
        <w:t>S</w:t>
      </w:r>
      <w:r w:rsidR="008F5A68" w:rsidRPr="003311B4">
        <w:rPr>
          <w:noProof/>
          <w:sz w:val="22"/>
          <w:szCs w:val="22"/>
        </w:rPr>
        <w:t>.</w:t>
      </w:r>
      <w:r w:rsidRPr="003311B4">
        <w:rPr>
          <w:noProof/>
          <w:sz w:val="22"/>
          <w:szCs w:val="22"/>
        </w:rPr>
        <w:t>,</w:t>
      </w:r>
      <w:r w:rsidR="00E252D8" w:rsidRPr="003311B4">
        <w:rPr>
          <w:noProof/>
          <w:sz w:val="22"/>
          <w:szCs w:val="22"/>
        </w:rPr>
        <w:t xml:space="preserve"> (1998)</w:t>
      </w:r>
      <w:r w:rsidRPr="003311B4">
        <w:rPr>
          <w:noProof/>
          <w:sz w:val="22"/>
          <w:szCs w:val="22"/>
        </w:rPr>
        <w:t xml:space="preserve"> 'The Geopolitics of Refugee Studies: A View from the South' </w:t>
      </w:r>
      <w:r w:rsidR="00E252D8" w:rsidRPr="003311B4">
        <w:rPr>
          <w:i/>
          <w:noProof/>
          <w:sz w:val="22"/>
          <w:szCs w:val="22"/>
        </w:rPr>
        <w:t xml:space="preserve">Journal of </w:t>
      </w:r>
      <w:r w:rsidRPr="003311B4">
        <w:rPr>
          <w:i/>
          <w:noProof/>
          <w:sz w:val="22"/>
          <w:szCs w:val="22"/>
        </w:rPr>
        <w:t>Refugee</w:t>
      </w:r>
      <w:r w:rsidRPr="003311B4">
        <w:rPr>
          <w:i/>
          <w:noProof/>
          <w:sz w:val="22"/>
          <w:szCs w:val="22"/>
        </w:rPr>
        <w:tab/>
        <w:t>Studies</w:t>
      </w:r>
      <w:r w:rsidRPr="003311B4">
        <w:rPr>
          <w:noProof/>
          <w:sz w:val="22"/>
          <w:szCs w:val="22"/>
        </w:rPr>
        <w:t xml:space="preserve"> 350</w:t>
      </w:r>
    </w:p>
    <w:p w14:paraId="0ED0852F" w14:textId="77777777" w:rsidR="0038583F" w:rsidRDefault="0038583F" w:rsidP="00D3169E">
      <w:pPr>
        <w:autoSpaceDE w:val="0"/>
        <w:autoSpaceDN w:val="0"/>
        <w:adjustRightInd w:val="0"/>
        <w:snapToGrid w:val="0"/>
        <w:jc w:val="both"/>
        <w:rPr>
          <w:i/>
          <w:sz w:val="22"/>
          <w:szCs w:val="22"/>
        </w:rPr>
      </w:pPr>
    </w:p>
    <w:p w14:paraId="2C9A5852" w14:textId="00C4E7C4" w:rsidR="003311B4" w:rsidRPr="003311B4" w:rsidRDefault="00E252D8" w:rsidP="003311B4">
      <w:pPr>
        <w:pStyle w:val="ListParagraph"/>
        <w:numPr>
          <w:ilvl w:val="0"/>
          <w:numId w:val="21"/>
        </w:numPr>
        <w:jc w:val="both"/>
        <w:rPr>
          <w:noProof/>
          <w:sz w:val="22"/>
          <w:szCs w:val="22"/>
        </w:rPr>
      </w:pPr>
      <w:r w:rsidRPr="003311B4">
        <w:rPr>
          <w:noProof/>
          <w:sz w:val="22"/>
          <w:szCs w:val="22"/>
        </w:rPr>
        <w:t>Vergara-Figueroa, A. (2018). Afrodescendant resistance to deracination in Colombia: Massacre at Bellavista-Bojaya-Choco. Cham, Switzerland: Palgrave Macmillan.</w:t>
      </w:r>
    </w:p>
    <w:p w14:paraId="6B56E3DF" w14:textId="2A65C477" w:rsidR="008F5A68" w:rsidRDefault="008F5A68" w:rsidP="003311B4">
      <w:pPr>
        <w:pStyle w:val="ListParagraph"/>
        <w:numPr>
          <w:ilvl w:val="1"/>
          <w:numId w:val="21"/>
        </w:numPr>
        <w:jc w:val="both"/>
        <w:rPr>
          <w:noProof/>
          <w:sz w:val="22"/>
          <w:szCs w:val="22"/>
        </w:rPr>
      </w:pPr>
      <w:r w:rsidRPr="003311B4">
        <w:rPr>
          <w:sz w:val="22"/>
          <w:szCs w:val="22"/>
        </w:rPr>
        <w:t xml:space="preserve">Read </w:t>
      </w:r>
      <w:r w:rsidR="00125E19">
        <w:rPr>
          <w:sz w:val="22"/>
          <w:szCs w:val="22"/>
        </w:rPr>
        <w:t>‘</w:t>
      </w:r>
      <w:r w:rsidR="00125E19" w:rsidRPr="00125E19">
        <w:rPr>
          <w:sz w:val="22"/>
          <w:szCs w:val="22"/>
        </w:rPr>
        <w:t>Beyond Sociology of Forced Migration</w:t>
      </w:r>
      <w:r w:rsidR="00125E19">
        <w:rPr>
          <w:sz w:val="22"/>
          <w:szCs w:val="22"/>
        </w:rPr>
        <w:t>’ p.1-26</w:t>
      </w:r>
    </w:p>
    <w:p w14:paraId="21181081" w14:textId="77777777" w:rsidR="00125E19" w:rsidRDefault="00125E19" w:rsidP="00125E19">
      <w:pPr>
        <w:jc w:val="both"/>
        <w:rPr>
          <w:noProof/>
          <w:sz w:val="22"/>
          <w:szCs w:val="22"/>
        </w:rPr>
      </w:pPr>
    </w:p>
    <w:p w14:paraId="21FEC122" w14:textId="77777777" w:rsidR="00125E19" w:rsidRPr="00125E19" w:rsidRDefault="00125E19" w:rsidP="00125E19">
      <w:pPr>
        <w:pStyle w:val="ListParagraph"/>
        <w:numPr>
          <w:ilvl w:val="0"/>
          <w:numId w:val="23"/>
        </w:numPr>
        <w:jc w:val="both"/>
        <w:rPr>
          <w:noProof/>
          <w:sz w:val="22"/>
          <w:szCs w:val="22"/>
        </w:rPr>
      </w:pPr>
      <w:r w:rsidRPr="00125E19">
        <w:rPr>
          <w:noProof/>
          <w:sz w:val="22"/>
          <w:szCs w:val="22"/>
        </w:rPr>
        <w:t xml:space="preserve">Davies, T., and A. Isakjee. (2018) Ruins of Empire: Refugees, race and the postcolonial geographies of European migrant camps, </w:t>
      </w:r>
      <w:r w:rsidRPr="00125E19">
        <w:rPr>
          <w:i/>
          <w:noProof/>
          <w:sz w:val="22"/>
          <w:szCs w:val="22"/>
        </w:rPr>
        <w:t>Geoforum</w:t>
      </w:r>
      <w:r w:rsidRPr="00125E19">
        <w:rPr>
          <w:noProof/>
          <w:sz w:val="22"/>
          <w:szCs w:val="22"/>
        </w:rPr>
        <w:t xml:space="preserve">. doi: </w:t>
      </w:r>
      <w:hyperlink r:id="rId9" w:history="1">
        <w:r w:rsidRPr="00125E19">
          <w:rPr>
            <w:sz w:val="22"/>
            <w:szCs w:val="22"/>
          </w:rPr>
          <w:t>https://doi.org/10.1016/j.geoforum.2018.09.031</w:t>
        </w:r>
      </w:hyperlink>
      <w:r w:rsidRPr="00125E19">
        <w:rPr>
          <w:noProof/>
          <w:sz w:val="22"/>
          <w:szCs w:val="22"/>
        </w:rPr>
        <w:t>.</w:t>
      </w:r>
    </w:p>
    <w:p w14:paraId="4AAFE01D" w14:textId="77777777" w:rsidR="003311B4" w:rsidRDefault="003311B4" w:rsidP="003311B4">
      <w:pPr>
        <w:autoSpaceDE w:val="0"/>
        <w:autoSpaceDN w:val="0"/>
        <w:adjustRightInd w:val="0"/>
        <w:snapToGrid w:val="0"/>
        <w:jc w:val="both"/>
        <w:rPr>
          <w:sz w:val="22"/>
          <w:szCs w:val="22"/>
        </w:rPr>
      </w:pPr>
    </w:p>
    <w:p w14:paraId="5F6D5F80" w14:textId="77777777" w:rsidR="003311B4" w:rsidRPr="003311B4" w:rsidRDefault="003311B4" w:rsidP="003311B4">
      <w:pPr>
        <w:pStyle w:val="ListParagraph"/>
        <w:numPr>
          <w:ilvl w:val="0"/>
          <w:numId w:val="22"/>
        </w:numPr>
        <w:jc w:val="both"/>
        <w:rPr>
          <w:noProof/>
          <w:sz w:val="22"/>
          <w:szCs w:val="22"/>
        </w:rPr>
      </w:pPr>
      <w:r w:rsidRPr="003311B4">
        <w:rPr>
          <w:noProof/>
          <w:sz w:val="22"/>
          <w:szCs w:val="22"/>
        </w:rPr>
        <w:t xml:space="preserve">Mayblin, L. (2017) </w:t>
      </w:r>
      <w:r w:rsidRPr="003311B4">
        <w:rPr>
          <w:i/>
          <w:noProof/>
          <w:sz w:val="22"/>
          <w:szCs w:val="22"/>
        </w:rPr>
        <w:t>Asylum After Empire: Colonial Legacies in the Politics of Asylum Seeking</w:t>
      </w:r>
      <w:r w:rsidRPr="003311B4">
        <w:rPr>
          <w:noProof/>
          <w:sz w:val="22"/>
          <w:szCs w:val="22"/>
        </w:rPr>
        <w:t>, London: Roman &amp; Littlefield International</w:t>
      </w:r>
    </w:p>
    <w:p w14:paraId="0EF5B25D" w14:textId="1CFBEB79" w:rsidR="003311B4" w:rsidRPr="003311B4" w:rsidRDefault="003311B4" w:rsidP="003311B4">
      <w:pPr>
        <w:pStyle w:val="ListParagraph"/>
        <w:numPr>
          <w:ilvl w:val="1"/>
          <w:numId w:val="22"/>
        </w:numPr>
        <w:autoSpaceDE w:val="0"/>
        <w:autoSpaceDN w:val="0"/>
        <w:adjustRightInd w:val="0"/>
        <w:snapToGrid w:val="0"/>
        <w:jc w:val="both"/>
        <w:rPr>
          <w:sz w:val="22"/>
          <w:szCs w:val="22"/>
        </w:rPr>
      </w:pPr>
      <w:r>
        <w:rPr>
          <w:sz w:val="22"/>
          <w:szCs w:val="22"/>
        </w:rPr>
        <w:t>Read chapters 2 &amp; 3</w:t>
      </w:r>
    </w:p>
    <w:p w14:paraId="1540EE73" w14:textId="77777777" w:rsidR="002A58D8" w:rsidRPr="008F5A68" w:rsidRDefault="002A58D8" w:rsidP="002A58D8">
      <w:pPr>
        <w:pStyle w:val="ListParagraph"/>
        <w:autoSpaceDE w:val="0"/>
        <w:autoSpaceDN w:val="0"/>
        <w:adjustRightInd w:val="0"/>
        <w:snapToGrid w:val="0"/>
        <w:jc w:val="both"/>
        <w:rPr>
          <w:sz w:val="22"/>
          <w:szCs w:val="22"/>
        </w:rPr>
      </w:pPr>
    </w:p>
    <w:p w14:paraId="06BA98D6" w14:textId="77777777" w:rsidR="0038583F" w:rsidRDefault="0038583F" w:rsidP="00D3169E">
      <w:pPr>
        <w:autoSpaceDE w:val="0"/>
        <w:autoSpaceDN w:val="0"/>
        <w:adjustRightInd w:val="0"/>
        <w:snapToGrid w:val="0"/>
        <w:jc w:val="both"/>
        <w:rPr>
          <w:i/>
          <w:sz w:val="22"/>
          <w:szCs w:val="22"/>
        </w:rPr>
      </w:pPr>
    </w:p>
    <w:p w14:paraId="02743731" w14:textId="4E8C8F8A" w:rsidR="00AC4077" w:rsidRPr="008F5A68" w:rsidRDefault="0038583F" w:rsidP="00D3169E">
      <w:pPr>
        <w:autoSpaceDE w:val="0"/>
        <w:autoSpaceDN w:val="0"/>
        <w:adjustRightInd w:val="0"/>
        <w:snapToGrid w:val="0"/>
        <w:jc w:val="both"/>
        <w:rPr>
          <w:i/>
          <w:sz w:val="22"/>
          <w:szCs w:val="22"/>
        </w:rPr>
      </w:pPr>
      <w:r>
        <w:rPr>
          <w:i/>
          <w:sz w:val="22"/>
          <w:szCs w:val="22"/>
        </w:rPr>
        <w:t xml:space="preserve">Further readings which address asylum and migration from a postcolonial or </w:t>
      </w:r>
      <w:proofErr w:type="spellStart"/>
      <w:r>
        <w:rPr>
          <w:i/>
          <w:sz w:val="22"/>
          <w:szCs w:val="22"/>
        </w:rPr>
        <w:t>decolonial</w:t>
      </w:r>
      <w:proofErr w:type="spellEnd"/>
      <w:r>
        <w:rPr>
          <w:i/>
          <w:sz w:val="22"/>
          <w:szCs w:val="22"/>
        </w:rPr>
        <w:t xml:space="preserve"> perspective</w:t>
      </w:r>
      <w:r w:rsidR="00516483" w:rsidRPr="00615180">
        <w:rPr>
          <w:i/>
          <w:sz w:val="22"/>
          <w:szCs w:val="22"/>
        </w:rPr>
        <w:t>:</w:t>
      </w:r>
    </w:p>
    <w:p w14:paraId="0433665D" w14:textId="1FBECF15" w:rsidR="00516483" w:rsidRPr="00615180" w:rsidRDefault="00516483" w:rsidP="00D3169E">
      <w:pPr>
        <w:jc w:val="both"/>
        <w:rPr>
          <w:noProof/>
          <w:sz w:val="22"/>
          <w:szCs w:val="22"/>
        </w:rPr>
      </w:pPr>
    </w:p>
    <w:p w14:paraId="7C9F7463" w14:textId="7401E220" w:rsidR="00B15A85" w:rsidRDefault="002A58D8" w:rsidP="00BC05D7">
      <w:pPr>
        <w:ind w:left="720" w:hanging="720"/>
        <w:jc w:val="both"/>
        <w:rPr>
          <w:noProof/>
          <w:sz w:val="22"/>
          <w:szCs w:val="22"/>
        </w:rPr>
      </w:pPr>
      <w:r>
        <w:rPr>
          <w:noProof/>
          <w:sz w:val="22"/>
          <w:szCs w:val="22"/>
        </w:rPr>
        <w:t xml:space="preserve">Armbruster, H. (2010) </w:t>
      </w:r>
      <w:r w:rsidR="00B15A85" w:rsidRPr="002A58D8">
        <w:rPr>
          <w:noProof/>
          <w:sz w:val="22"/>
          <w:szCs w:val="22"/>
        </w:rPr>
        <w:t>‘Realising the Self and Developing the African’</w:t>
      </w:r>
      <w:r>
        <w:rPr>
          <w:noProof/>
          <w:sz w:val="22"/>
          <w:szCs w:val="22"/>
        </w:rPr>
        <w:t>: German Immigrants in Namibia.</w:t>
      </w:r>
      <w:r w:rsidR="00B15A85" w:rsidRPr="002A58D8">
        <w:rPr>
          <w:noProof/>
          <w:sz w:val="22"/>
          <w:szCs w:val="22"/>
        </w:rPr>
        <w:t xml:space="preserve">  </w:t>
      </w:r>
      <w:r w:rsidR="00B15A85" w:rsidRPr="002A58D8">
        <w:rPr>
          <w:i/>
          <w:noProof/>
          <w:sz w:val="22"/>
          <w:szCs w:val="22"/>
        </w:rPr>
        <w:t>Journal of Ethnic and Migration Studies</w:t>
      </w:r>
      <w:r>
        <w:rPr>
          <w:noProof/>
          <w:sz w:val="22"/>
          <w:szCs w:val="22"/>
        </w:rPr>
        <w:t>,</w:t>
      </w:r>
      <w:r w:rsidR="00B15A85" w:rsidRPr="002A58D8">
        <w:rPr>
          <w:noProof/>
          <w:sz w:val="22"/>
          <w:szCs w:val="22"/>
        </w:rPr>
        <w:t xml:space="preserve"> 36 (8):1229-1246.</w:t>
      </w:r>
    </w:p>
    <w:p w14:paraId="01D986BA" w14:textId="77777777" w:rsidR="002A58D8" w:rsidRDefault="002A58D8" w:rsidP="00BC05D7">
      <w:pPr>
        <w:ind w:left="720" w:hanging="720"/>
        <w:jc w:val="both"/>
        <w:rPr>
          <w:noProof/>
          <w:sz w:val="22"/>
          <w:szCs w:val="22"/>
        </w:rPr>
      </w:pPr>
    </w:p>
    <w:p w14:paraId="03BB0205" w14:textId="0D70483E" w:rsidR="002A58D8" w:rsidRDefault="00F33050" w:rsidP="00BC05D7">
      <w:pPr>
        <w:ind w:left="720" w:hanging="720"/>
        <w:jc w:val="both"/>
        <w:rPr>
          <w:noProof/>
          <w:sz w:val="22"/>
          <w:szCs w:val="22"/>
        </w:rPr>
      </w:pPr>
      <w:r>
        <w:rPr>
          <w:noProof/>
          <w:sz w:val="22"/>
          <w:szCs w:val="22"/>
        </w:rPr>
        <w:t xml:space="preserve">Danewid, I. (2017) </w:t>
      </w:r>
      <w:r w:rsidR="002A58D8" w:rsidRPr="002A58D8">
        <w:rPr>
          <w:noProof/>
          <w:sz w:val="22"/>
          <w:szCs w:val="22"/>
        </w:rPr>
        <w:t>White innocence in the Black Mediterranean: hospital</w:t>
      </w:r>
      <w:r>
        <w:rPr>
          <w:noProof/>
          <w:sz w:val="22"/>
          <w:szCs w:val="22"/>
        </w:rPr>
        <w:t>ity and the erasure of history,</w:t>
      </w:r>
      <w:r w:rsidR="002A58D8" w:rsidRPr="002A58D8">
        <w:rPr>
          <w:noProof/>
          <w:sz w:val="22"/>
          <w:szCs w:val="22"/>
        </w:rPr>
        <w:t xml:space="preserve"> </w:t>
      </w:r>
      <w:r w:rsidR="002A58D8" w:rsidRPr="00F33050">
        <w:rPr>
          <w:i/>
          <w:noProof/>
          <w:sz w:val="22"/>
          <w:szCs w:val="22"/>
        </w:rPr>
        <w:t>Third World Quarterly</w:t>
      </w:r>
      <w:r>
        <w:rPr>
          <w:i/>
          <w:noProof/>
          <w:sz w:val="22"/>
          <w:szCs w:val="22"/>
        </w:rPr>
        <w:t>,</w:t>
      </w:r>
      <w:r>
        <w:rPr>
          <w:noProof/>
          <w:sz w:val="22"/>
          <w:szCs w:val="22"/>
        </w:rPr>
        <w:t xml:space="preserve"> 38</w:t>
      </w:r>
      <w:r w:rsidR="002A58D8" w:rsidRPr="002A58D8">
        <w:rPr>
          <w:noProof/>
          <w:sz w:val="22"/>
          <w:szCs w:val="22"/>
        </w:rPr>
        <w:t>(7):1674-1689.</w:t>
      </w:r>
    </w:p>
    <w:p w14:paraId="086ACC02" w14:textId="77777777" w:rsidR="002A58D8" w:rsidRPr="002A58D8" w:rsidRDefault="002A58D8" w:rsidP="00BC05D7">
      <w:pPr>
        <w:ind w:left="720" w:hanging="720"/>
        <w:jc w:val="both"/>
        <w:rPr>
          <w:noProof/>
          <w:sz w:val="22"/>
          <w:szCs w:val="22"/>
        </w:rPr>
      </w:pPr>
    </w:p>
    <w:p w14:paraId="38493C34" w14:textId="5A03A2A8" w:rsidR="002A58D8" w:rsidRDefault="002A58D8" w:rsidP="00BC05D7">
      <w:pPr>
        <w:ind w:left="720" w:hanging="720"/>
        <w:jc w:val="both"/>
        <w:rPr>
          <w:noProof/>
          <w:sz w:val="22"/>
          <w:szCs w:val="22"/>
        </w:rPr>
      </w:pPr>
      <w:r w:rsidRPr="002A58D8">
        <w:rPr>
          <w:noProof/>
          <w:sz w:val="22"/>
          <w:szCs w:val="22"/>
        </w:rPr>
        <w:t>Dav</w:t>
      </w:r>
      <w:r>
        <w:rPr>
          <w:noProof/>
          <w:sz w:val="22"/>
          <w:szCs w:val="22"/>
        </w:rPr>
        <w:t xml:space="preserve">ies, T., and A. Isakjee. (2018) </w:t>
      </w:r>
      <w:r w:rsidRPr="002A58D8">
        <w:rPr>
          <w:noProof/>
          <w:sz w:val="22"/>
          <w:szCs w:val="22"/>
        </w:rPr>
        <w:t>Ruins of Empire: Refugees, race and the postcolonial geographies of</w:t>
      </w:r>
      <w:r>
        <w:rPr>
          <w:noProof/>
          <w:sz w:val="22"/>
          <w:szCs w:val="22"/>
        </w:rPr>
        <w:t xml:space="preserve"> European migrant camps,</w:t>
      </w:r>
      <w:r w:rsidRPr="002A58D8">
        <w:rPr>
          <w:noProof/>
          <w:sz w:val="22"/>
          <w:szCs w:val="22"/>
        </w:rPr>
        <w:t xml:space="preserve"> </w:t>
      </w:r>
      <w:r w:rsidRPr="002A58D8">
        <w:rPr>
          <w:i/>
          <w:noProof/>
          <w:sz w:val="22"/>
          <w:szCs w:val="22"/>
        </w:rPr>
        <w:t>Geoforum</w:t>
      </w:r>
      <w:r w:rsidRPr="002A58D8">
        <w:rPr>
          <w:noProof/>
          <w:sz w:val="22"/>
          <w:szCs w:val="22"/>
        </w:rPr>
        <w:t xml:space="preserve">. doi: </w:t>
      </w:r>
      <w:hyperlink r:id="rId10" w:history="1">
        <w:r w:rsidRPr="002A58D8">
          <w:rPr>
            <w:sz w:val="22"/>
            <w:szCs w:val="22"/>
          </w:rPr>
          <w:t>https://doi.org/10.1016/j.geoforum.2018.09.031</w:t>
        </w:r>
      </w:hyperlink>
      <w:r w:rsidRPr="002A58D8">
        <w:rPr>
          <w:noProof/>
          <w:sz w:val="22"/>
          <w:szCs w:val="22"/>
        </w:rPr>
        <w:t>.</w:t>
      </w:r>
    </w:p>
    <w:p w14:paraId="04210E6B" w14:textId="77777777" w:rsidR="002A58D8" w:rsidRPr="002A58D8" w:rsidRDefault="002A58D8" w:rsidP="00BC05D7">
      <w:pPr>
        <w:ind w:left="720" w:hanging="720"/>
        <w:jc w:val="both"/>
        <w:rPr>
          <w:noProof/>
          <w:sz w:val="22"/>
          <w:szCs w:val="22"/>
        </w:rPr>
      </w:pPr>
    </w:p>
    <w:p w14:paraId="065FA26C" w14:textId="76D2898E" w:rsidR="00B15A85" w:rsidRPr="0038583F" w:rsidRDefault="002A58D8" w:rsidP="00BC05D7">
      <w:pPr>
        <w:ind w:left="720" w:hanging="720"/>
        <w:jc w:val="both"/>
        <w:rPr>
          <w:noProof/>
          <w:sz w:val="22"/>
          <w:szCs w:val="22"/>
        </w:rPr>
      </w:pPr>
      <w:r w:rsidRPr="002A58D8">
        <w:rPr>
          <w:noProof/>
          <w:sz w:val="22"/>
          <w:szCs w:val="22"/>
        </w:rPr>
        <w:t xml:space="preserve">Davies, T., Isakjee, </w:t>
      </w:r>
      <w:r>
        <w:rPr>
          <w:noProof/>
          <w:sz w:val="22"/>
          <w:szCs w:val="22"/>
        </w:rPr>
        <w:t>A. Dhesi, S.</w:t>
      </w:r>
      <w:r w:rsidRPr="002A58D8">
        <w:rPr>
          <w:noProof/>
          <w:sz w:val="22"/>
          <w:szCs w:val="22"/>
        </w:rPr>
        <w:t xml:space="preserve"> </w:t>
      </w:r>
      <w:r>
        <w:rPr>
          <w:noProof/>
          <w:sz w:val="22"/>
          <w:szCs w:val="22"/>
        </w:rPr>
        <w:t xml:space="preserve">(2017) </w:t>
      </w:r>
      <w:r w:rsidRPr="002A58D8">
        <w:rPr>
          <w:noProof/>
          <w:sz w:val="22"/>
          <w:szCs w:val="22"/>
        </w:rPr>
        <w:t>Violent Inaction: The Necropolitical Experience Of Refugee</w:t>
      </w:r>
      <w:r>
        <w:rPr>
          <w:noProof/>
          <w:sz w:val="22"/>
          <w:szCs w:val="22"/>
        </w:rPr>
        <w:t>s In Europe Antipode,</w:t>
      </w:r>
      <w:r w:rsidRPr="002A58D8">
        <w:rPr>
          <w:noProof/>
          <w:sz w:val="22"/>
          <w:szCs w:val="22"/>
        </w:rPr>
        <w:t xml:space="preserve">  </w:t>
      </w:r>
      <w:r w:rsidRPr="002A58D8">
        <w:rPr>
          <w:i/>
          <w:noProof/>
          <w:sz w:val="22"/>
          <w:szCs w:val="22"/>
        </w:rPr>
        <w:t>Antipode</w:t>
      </w:r>
      <w:r>
        <w:rPr>
          <w:noProof/>
          <w:sz w:val="22"/>
          <w:szCs w:val="22"/>
        </w:rPr>
        <w:t>, 49</w:t>
      </w:r>
      <w:r w:rsidRPr="002A58D8">
        <w:rPr>
          <w:noProof/>
          <w:sz w:val="22"/>
          <w:szCs w:val="22"/>
        </w:rPr>
        <w:t>(5):1263-1284.</w:t>
      </w:r>
    </w:p>
    <w:p w14:paraId="65865605" w14:textId="77777777" w:rsidR="0038583F" w:rsidRPr="0038583F" w:rsidRDefault="0038583F" w:rsidP="00BC05D7">
      <w:pPr>
        <w:ind w:left="720" w:hanging="720"/>
        <w:jc w:val="both"/>
        <w:rPr>
          <w:noProof/>
          <w:sz w:val="22"/>
          <w:szCs w:val="22"/>
        </w:rPr>
      </w:pPr>
    </w:p>
    <w:p w14:paraId="6D9EE54A" w14:textId="494B661C" w:rsidR="0038583F" w:rsidRPr="0038583F" w:rsidRDefault="0038583F" w:rsidP="00BC05D7">
      <w:pPr>
        <w:ind w:left="720" w:hanging="720"/>
        <w:jc w:val="both"/>
        <w:rPr>
          <w:noProof/>
          <w:sz w:val="22"/>
          <w:szCs w:val="22"/>
        </w:rPr>
      </w:pPr>
      <w:r w:rsidRPr="0038583F">
        <w:rPr>
          <w:noProof/>
          <w:sz w:val="22"/>
          <w:szCs w:val="22"/>
        </w:rPr>
        <w:t>De Genova</w:t>
      </w:r>
      <w:r>
        <w:rPr>
          <w:noProof/>
          <w:sz w:val="22"/>
          <w:szCs w:val="22"/>
        </w:rPr>
        <w:t>, N.</w:t>
      </w:r>
      <w:r w:rsidRPr="0038583F">
        <w:rPr>
          <w:noProof/>
          <w:sz w:val="22"/>
          <w:szCs w:val="22"/>
        </w:rPr>
        <w:t> (2018) The “migrant crisis” as racial crisis: do Black Lives Matter in Europe?, </w:t>
      </w:r>
      <w:r w:rsidRPr="00FA0099">
        <w:rPr>
          <w:i/>
          <w:noProof/>
          <w:sz w:val="22"/>
          <w:szCs w:val="22"/>
        </w:rPr>
        <w:t>Ethnic and Racial Studies</w:t>
      </w:r>
      <w:r w:rsidR="00FA0099">
        <w:rPr>
          <w:noProof/>
          <w:sz w:val="22"/>
          <w:szCs w:val="22"/>
        </w:rPr>
        <w:t>, 41(</w:t>
      </w:r>
      <w:r w:rsidRPr="0038583F">
        <w:rPr>
          <w:noProof/>
          <w:sz w:val="22"/>
          <w:szCs w:val="22"/>
        </w:rPr>
        <w:t>10</w:t>
      </w:r>
      <w:r w:rsidR="00FA0099">
        <w:rPr>
          <w:noProof/>
          <w:sz w:val="22"/>
          <w:szCs w:val="22"/>
        </w:rPr>
        <w:t>):</w:t>
      </w:r>
      <w:r w:rsidRPr="0038583F">
        <w:rPr>
          <w:noProof/>
          <w:sz w:val="22"/>
          <w:szCs w:val="22"/>
        </w:rPr>
        <w:t xml:space="preserve">1765-1782 </w:t>
      </w:r>
    </w:p>
    <w:p w14:paraId="34AC8C82" w14:textId="77777777" w:rsidR="0038583F" w:rsidRPr="0038583F" w:rsidRDefault="0038583F" w:rsidP="00BC05D7">
      <w:pPr>
        <w:ind w:left="720" w:hanging="720"/>
        <w:jc w:val="both"/>
        <w:rPr>
          <w:noProof/>
          <w:sz w:val="22"/>
          <w:szCs w:val="22"/>
        </w:rPr>
      </w:pPr>
    </w:p>
    <w:p w14:paraId="5A9733C3" w14:textId="5D41F93B" w:rsidR="0038583F" w:rsidRPr="0038583F" w:rsidRDefault="0038583F" w:rsidP="00BC05D7">
      <w:pPr>
        <w:ind w:left="720" w:hanging="720"/>
        <w:jc w:val="both"/>
        <w:rPr>
          <w:noProof/>
          <w:sz w:val="22"/>
          <w:szCs w:val="22"/>
        </w:rPr>
      </w:pPr>
      <w:r w:rsidRPr="002A58D8">
        <w:rPr>
          <w:noProof/>
          <w:sz w:val="22"/>
          <w:szCs w:val="22"/>
        </w:rPr>
        <w:t xml:space="preserve">Kinnvall, </w:t>
      </w:r>
      <w:r w:rsidR="00FA0099">
        <w:rPr>
          <w:noProof/>
          <w:sz w:val="22"/>
          <w:szCs w:val="22"/>
        </w:rPr>
        <w:t xml:space="preserve">C. (2016) </w:t>
      </w:r>
      <w:r w:rsidRPr="002A58D8">
        <w:rPr>
          <w:noProof/>
          <w:sz w:val="22"/>
          <w:szCs w:val="22"/>
        </w:rPr>
        <w:t xml:space="preserve">The Postcolonial has Moved into Europe: Bordering, Security and Ethno‐Cultural Belonging, </w:t>
      </w:r>
      <w:r w:rsidRPr="00FA0099">
        <w:rPr>
          <w:i/>
          <w:noProof/>
          <w:sz w:val="22"/>
          <w:szCs w:val="22"/>
        </w:rPr>
        <w:t>Journal of Common Market Studies,</w:t>
      </w:r>
      <w:r w:rsidRPr="002A58D8">
        <w:rPr>
          <w:noProof/>
          <w:sz w:val="22"/>
          <w:szCs w:val="22"/>
        </w:rPr>
        <w:t xml:space="preserve"> Special Issue: Another Theory is Possible: Dissident Voices in Theorising Europe. Guest Editors: Ian Manners and Richard Whitman</w:t>
      </w:r>
    </w:p>
    <w:p w14:paraId="75A9A630" w14:textId="77777777" w:rsidR="0038583F" w:rsidRDefault="0038583F" w:rsidP="00BC05D7">
      <w:pPr>
        <w:ind w:left="720" w:hanging="720"/>
        <w:jc w:val="both"/>
        <w:rPr>
          <w:noProof/>
          <w:sz w:val="22"/>
          <w:szCs w:val="22"/>
        </w:rPr>
      </w:pPr>
    </w:p>
    <w:p w14:paraId="3D622B95" w14:textId="7A2EF3FF" w:rsidR="00B15A85" w:rsidRDefault="00B15A85" w:rsidP="00BC05D7">
      <w:pPr>
        <w:ind w:left="720" w:hanging="720"/>
        <w:jc w:val="both"/>
        <w:rPr>
          <w:noProof/>
          <w:sz w:val="22"/>
          <w:szCs w:val="22"/>
        </w:rPr>
      </w:pPr>
      <w:r w:rsidRPr="002A58D8">
        <w:rPr>
          <w:noProof/>
          <w:sz w:val="22"/>
          <w:szCs w:val="22"/>
        </w:rPr>
        <w:t>Fech</w:t>
      </w:r>
      <w:r w:rsidR="00FA0099">
        <w:rPr>
          <w:noProof/>
          <w:sz w:val="22"/>
          <w:szCs w:val="22"/>
        </w:rPr>
        <w:t xml:space="preserve">ter, A-M., Walsh, K. (2010) </w:t>
      </w:r>
      <w:r w:rsidRPr="002A58D8">
        <w:rPr>
          <w:noProof/>
          <w:sz w:val="22"/>
          <w:szCs w:val="22"/>
        </w:rPr>
        <w:t>Examining 'expatriate' continuities: postcolonial app</w:t>
      </w:r>
      <w:r w:rsidR="00FA0099">
        <w:rPr>
          <w:noProof/>
          <w:sz w:val="22"/>
          <w:szCs w:val="22"/>
        </w:rPr>
        <w:t>roaches to mobile professional,</w:t>
      </w:r>
      <w:r w:rsidRPr="002A58D8">
        <w:rPr>
          <w:noProof/>
          <w:sz w:val="22"/>
          <w:szCs w:val="22"/>
        </w:rPr>
        <w:t xml:space="preserve">  </w:t>
      </w:r>
      <w:r w:rsidRPr="00FA0099">
        <w:rPr>
          <w:i/>
          <w:noProof/>
          <w:sz w:val="22"/>
          <w:szCs w:val="22"/>
        </w:rPr>
        <w:t>Journal of Ethnic and Migration Studies</w:t>
      </w:r>
      <w:r w:rsidR="00FA0099">
        <w:rPr>
          <w:noProof/>
          <w:sz w:val="22"/>
          <w:szCs w:val="22"/>
        </w:rPr>
        <w:t>, 36(8):1197-1210</w:t>
      </w:r>
    </w:p>
    <w:p w14:paraId="29B76F62" w14:textId="77777777" w:rsidR="00FA0099" w:rsidRDefault="00FA0099" w:rsidP="00BC05D7">
      <w:pPr>
        <w:ind w:left="720" w:hanging="720"/>
        <w:jc w:val="both"/>
        <w:rPr>
          <w:noProof/>
          <w:sz w:val="22"/>
          <w:szCs w:val="22"/>
        </w:rPr>
      </w:pPr>
    </w:p>
    <w:p w14:paraId="7D38D70B" w14:textId="4BBA469E" w:rsidR="00FA0099" w:rsidRDefault="00FA0099" w:rsidP="00BC05D7">
      <w:pPr>
        <w:ind w:left="720" w:hanging="720"/>
        <w:jc w:val="both"/>
        <w:rPr>
          <w:noProof/>
          <w:sz w:val="22"/>
          <w:szCs w:val="22"/>
        </w:rPr>
      </w:pPr>
      <w:r w:rsidRPr="003311B4">
        <w:rPr>
          <w:noProof/>
          <w:sz w:val="22"/>
          <w:szCs w:val="22"/>
        </w:rPr>
        <w:t>Frilund, R. (2018) Exploring (transit) migration through a postcolonial lens: Tibetans migrating to India and beyond, Journal of Ethnic and Migration Studies, DOI: </w:t>
      </w:r>
      <w:hyperlink r:id="rId11" w:history="1">
        <w:r w:rsidRPr="003311B4">
          <w:rPr>
            <w:noProof/>
            <w:sz w:val="22"/>
            <w:szCs w:val="22"/>
          </w:rPr>
          <w:t>10.1080/1369183X.2018.1501270</w:t>
        </w:r>
      </w:hyperlink>
    </w:p>
    <w:p w14:paraId="4703309D" w14:textId="77777777" w:rsidR="00FA0099" w:rsidRDefault="00FA0099" w:rsidP="00BC05D7">
      <w:pPr>
        <w:ind w:left="720" w:hanging="720"/>
        <w:jc w:val="both"/>
        <w:rPr>
          <w:noProof/>
          <w:sz w:val="22"/>
          <w:szCs w:val="22"/>
        </w:rPr>
      </w:pPr>
    </w:p>
    <w:p w14:paraId="7AD59E94" w14:textId="77777777" w:rsidR="00FA0099" w:rsidRPr="002A58D8" w:rsidRDefault="00FA0099" w:rsidP="00BC05D7">
      <w:pPr>
        <w:ind w:left="720" w:hanging="720"/>
        <w:jc w:val="both"/>
        <w:rPr>
          <w:noProof/>
          <w:sz w:val="22"/>
          <w:szCs w:val="22"/>
        </w:rPr>
      </w:pPr>
      <w:r w:rsidRPr="0038583F">
        <w:rPr>
          <w:noProof/>
          <w:sz w:val="22"/>
          <w:szCs w:val="22"/>
        </w:rPr>
        <w:t xml:space="preserve">Grosfoguel, </w:t>
      </w:r>
      <w:r>
        <w:rPr>
          <w:noProof/>
          <w:sz w:val="22"/>
          <w:szCs w:val="22"/>
        </w:rPr>
        <w:t xml:space="preserve">R. </w:t>
      </w:r>
      <w:r w:rsidRPr="0038583F">
        <w:rPr>
          <w:noProof/>
          <w:sz w:val="22"/>
          <w:szCs w:val="22"/>
        </w:rPr>
        <w:t>Oso</w:t>
      </w:r>
      <w:r>
        <w:rPr>
          <w:noProof/>
          <w:sz w:val="22"/>
          <w:szCs w:val="22"/>
        </w:rPr>
        <w:t>, L.</w:t>
      </w:r>
      <w:r w:rsidRPr="0038583F">
        <w:rPr>
          <w:noProof/>
          <w:sz w:val="22"/>
          <w:szCs w:val="22"/>
        </w:rPr>
        <w:t xml:space="preserve"> Christou</w:t>
      </w:r>
      <w:r>
        <w:rPr>
          <w:noProof/>
          <w:sz w:val="22"/>
          <w:szCs w:val="22"/>
        </w:rPr>
        <w:t>, A.</w:t>
      </w:r>
      <w:r w:rsidRPr="0038583F">
        <w:rPr>
          <w:noProof/>
          <w:sz w:val="22"/>
          <w:szCs w:val="22"/>
        </w:rPr>
        <w:t> (2015) ‘Racism’, intersectionality and migration studies: framing some theoretical reflections, </w:t>
      </w:r>
      <w:r w:rsidRPr="0038583F">
        <w:rPr>
          <w:i/>
          <w:noProof/>
          <w:sz w:val="22"/>
          <w:szCs w:val="22"/>
        </w:rPr>
        <w:t>Identities</w:t>
      </w:r>
      <w:r w:rsidRPr="0038583F">
        <w:rPr>
          <w:noProof/>
          <w:sz w:val="22"/>
          <w:szCs w:val="22"/>
        </w:rPr>
        <w:t xml:space="preserve">, 22:6, 635-652 </w:t>
      </w:r>
    </w:p>
    <w:p w14:paraId="05F3F39E" w14:textId="77777777" w:rsidR="00FA0099" w:rsidRPr="002A58D8" w:rsidRDefault="00FA0099" w:rsidP="00BC05D7">
      <w:pPr>
        <w:ind w:left="720" w:hanging="720"/>
        <w:jc w:val="both"/>
        <w:rPr>
          <w:noProof/>
          <w:sz w:val="22"/>
          <w:szCs w:val="22"/>
        </w:rPr>
      </w:pPr>
    </w:p>
    <w:p w14:paraId="6309B7AB" w14:textId="0D8FB85E" w:rsidR="00B15A85" w:rsidRPr="002A58D8" w:rsidRDefault="00FA0099" w:rsidP="00BC05D7">
      <w:pPr>
        <w:ind w:left="720" w:hanging="720"/>
        <w:jc w:val="both"/>
        <w:rPr>
          <w:noProof/>
          <w:sz w:val="22"/>
          <w:szCs w:val="22"/>
        </w:rPr>
      </w:pPr>
      <w:r>
        <w:rPr>
          <w:noProof/>
          <w:sz w:val="22"/>
          <w:szCs w:val="22"/>
        </w:rPr>
        <w:t>Hansen, P</w:t>
      </w:r>
      <w:r w:rsidR="00B15A85" w:rsidRPr="002A58D8">
        <w:rPr>
          <w:noProof/>
          <w:sz w:val="22"/>
          <w:szCs w:val="22"/>
        </w:rPr>
        <w:t xml:space="preserve">., </w:t>
      </w:r>
      <w:r>
        <w:rPr>
          <w:noProof/>
          <w:sz w:val="22"/>
          <w:szCs w:val="22"/>
        </w:rPr>
        <w:t>Jonsson, S.</w:t>
      </w:r>
      <w:r w:rsidR="00B15A85" w:rsidRPr="002A58D8">
        <w:rPr>
          <w:noProof/>
          <w:sz w:val="22"/>
          <w:szCs w:val="22"/>
        </w:rPr>
        <w:t xml:space="preserve"> </w:t>
      </w:r>
      <w:r>
        <w:rPr>
          <w:noProof/>
          <w:sz w:val="22"/>
          <w:szCs w:val="22"/>
        </w:rPr>
        <w:t>(</w:t>
      </w:r>
      <w:r w:rsidR="00B15A85" w:rsidRPr="002A58D8">
        <w:rPr>
          <w:noProof/>
          <w:sz w:val="22"/>
          <w:szCs w:val="22"/>
        </w:rPr>
        <w:t>2014</w:t>
      </w:r>
      <w:r>
        <w:rPr>
          <w:noProof/>
          <w:sz w:val="22"/>
          <w:szCs w:val="22"/>
        </w:rPr>
        <w:t>)</w:t>
      </w:r>
      <w:r w:rsidR="00B15A85" w:rsidRPr="002A58D8">
        <w:rPr>
          <w:noProof/>
          <w:sz w:val="22"/>
          <w:szCs w:val="22"/>
        </w:rPr>
        <w:t xml:space="preserve"> </w:t>
      </w:r>
      <w:r w:rsidR="00B15A85" w:rsidRPr="00FA0099">
        <w:rPr>
          <w:i/>
          <w:noProof/>
          <w:sz w:val="22"/>
          <w:szCs w:val="22"/>
        </w:rPr>
        <w:t>Eurafrica: the untold history of European integration and colonialism</w:t>
      </w:r>
      <w:r w:rsidR="00B15A85" w:rsidRPr="002A58D8">
        <w:rPr>
          <w:noProof/>
          <w:sz w:val="22"/>
          <w:szCs w:val="22"/>
        </w:rPr>
        <w:t>. London: Bloombury.</w:t>
      </w:r>
    </w:p>
    <w:p w14:paraId="6408B705" w14:textId="77777777" w:rsidR="00B15A85" w:rsidRPr="0038583F" w:rsidRDefault="00B15A85" w:rsidP="00BC05D7">
      <w:pPr>
        <w:ind w:left="720" w:hanging="720"/>
        <w:jc w:val="both"/>
        <w:rPr>
          <w:noProof/>
          <w:sz w:val="22"/>
          <w:szCs w:val="22"/>
        </w:rPr>
      </w:pPr>
    </w:p>
    <w:p w14:paraId="0859844A" w14:textId="5A30F6BF" w:rsidR="0038583F" w:rsidRDefault="0038583F" w:rsidP="00BC05D7">
      <w:pPr>
        <w:ind w:left="720" w:hanging="720"/>
        <w:jc w:val="both"/>
        <w:rPr>
          <w:noProof/>
          <w:sz w:val="22"/>
          <w:szCs w:val="22"/>
        </w:rPr>
      </w:pPr>
      <w:r w:rsidRPr="0038583F">
        <w:rPr>
          <w:noProof/>
          <w:sz w:val="22"/>
          <w:szCs w:val="22"/>
        </w:rPr>
        <w:t>Koh, SY</w:t>
      </w:r>
      <w:r w:rsidR="008F5A68">
        <w:rPr>
          <w:noProof/>
          <w:sz w:val="22"/>
          <w:szCs w:val="22"/>
        </w:rPr>
        <w:t>. (2015)</w:t>
      </w:r>
      <w:r w:rsidRPr="0038583F">
        <w:rPr>
          <w:noProof/>
          <w:sz w:val="22"/>
          <w:szCs w:val="22"/>
        </w:rPr>
        <w:t> Postcolonial Approaches to Migration in As</w:t>
      </w:r>
      <w:r w:rsidR="008F5A68">
        <w:rPr>
          <w:noProof/>
          <w:sz w:val="22"/>
          <w:szCs w:val="22"/>
        </w:rPr>
        <w:t>ia: Reflections and Projections,</w:t>
      </w:r>
      <w:r w:rsidRPr="0038583F">
        <w:rPr>
          <w:noProof/>
          <w:sz w:val="22"/>
          <w:szCs w:val="22"/>
        </w:rPr>
        <w:t> </w:t>
      </w:r>
      <w:r w:rsidRPr="00FA0099">
        <w:rPr>
          <w:i/>
          <w:noProof/>
          <w:sz w:val="22"/>
          <w:szCs w:val="22"/>
        </w:rPr>
        <w:t>Geography Compass</w:t>
      </w:r>
      <w:r w:rsidR="008F5A68">
        <w:rPr>
          <w:noProof/>
          <w:sz w:val="22"/>
          <w:szCs w:val="22"/>
        </w:rPr>
        <w:t>, 9:</w:t>
      </w:r>
      <w:r w:rsidRPr="0038583F">
        <w:rPr>
          <w:noProof/>
          <w:sz w:val="22"/>
          <w:szCs w:val="22"/>
        </w:rPr>
        <w:t xml:space="preserve">432–444. </w:t>
      </w:r>
    </w:p>
    <w:p w14:paraId="5DA09A94" w14:textId="3F594BF6" w:rsidR="00FA0099" w:rsidRPr="00FA0099" w:rsidRDefault="00FA0099" w:rsidP="00BC05D7">
      <w:pPr>
        <w:pStyle w:val="ListParagraph"/>
        <w:numPr>
          <w:ilvl w:val="0"/>
          <w:numId w:val="20"/>
        </w:numPr>
        <w:ind w:hanging="720"/>
        <w:jc w:val="both"/>
        <w:rPr>
          <w:noProof/>
          <w:sz w:val="22"/>
          <w:szCs w:val="22"/>
        </w:rPr>
      </w:pPr>
      <w:r>
        <w:rPr>
          <w:noProof/>
          <w:sz w:val="22"/>
          <w:szCs w:val="22"/>
        </w:rPr>
        <w:t>This article provides a good review of the literature on postclonialism/migration not just in Asia but also more broadly</w:t>
      </w:r>
    </w:p>
    <w:p w14:paraId="3880F8AB" w14:textId="77777777" w:rsidR="0038583F" w:rsidRPr="0038583F" w:rsidRDefault="0038583F" w:rsidP="003311B4">
      <w:pPr>
        <w:jc w:val="both"/>
        <w:rPr>
          <w:noProof/>
          <w:sz w:val="22"/>
          <w:szCs w:val="22"/>
        </w:rPr>
      </w:pPr>
    </w:p>
    <w:p w14:paraId="46D09B67" w14:textId="3B90F325" w:rsidR="0038583F" w:rsidRPr="0038583F" w:rsidRDefault="0038583F" w:rsidP="00BC05D7">
      <w:pPr>
        <w:ind w:left="720" w:hanging="720"/>
        <w:jc w:val="both"/>
        <w:rPr>
          <w:noProof/>
          <w:sz w:val="22"/>
          <w:szCs w:val="22"/>
        </w:rPr>
      </w:pPr>
      <w:r w:rsidRPr="0038583F">
        <w:rPr>
          <w:noProof/>
          <w:sz w:val="22"/>
          <w:szCs w:val="22"/>
        </w:rPr>
        <w:t xml:space="preserve">Mains, </w:t>
      </w:r>
      <w:r w:rsidR="00FA0099">
        <w:rPr>
          <w:noProof/>
          <w:sz w:val="22"/>
          <w:szCs w:val="22"/>
        </w:rPr>
        <w:t xml:space="preserve">S.P. </w:t>
      </w:r>
      <w:r w:rsidRPr="0038583F">
        <w:rPr>
          <w:noProof/>
          <w:sz w:val="22"/>
          <w:szCs w:val="22"/>
        </w:rPr>
        <w:t xml:space="preserve">Gilmartin, </w:t>
      </w:r>
      <w:r w:rsidR="00FA0099">
        <w:rPr>
          <w:noProof/>
          <w:sz w:val="22"/>
          <w:szCs w:val="22"/>
        </w:rPr>
        <w:t xml:space="preserve">M. </w:t>
      </w:r>
      <w:r w:rsidRPr="0038583F">
        <w:rPr>
          <w:noProof/>
          <w:sz w:val="22"/>
          <w:szCs w:val="22"/>
        </w:rPr>
        <w:t xml:space="preserve">Cullen, </w:t>
      </w:r>
      <w:r w:rsidR="00FA0099">
        <w:rPr>
          <w:noProof/>
          <w:sz w:val="22"/>
          <w:szCs w:val="22"/>
        </w:rPr>
        <w:t xml:space="preserve">D. </w:t>
      </w:r>
      <w:r w:rsidRPr="0038583F">
        <w:rPr>
          <w:noProof/>
          <w:sz w:val="22"/>
          <w:szCs w:val="22"/>
        </w:rPr>
        <w:t xml:space="preserve">Mohammad, </w:t>
      </w:r>
      <w:r w:rsidR="00FA0099">
        <w:rPr>
          <w:noProof/>
          <w:sz w:val="22"/>
          <w:szCs w:val="22"/>
        </w:rPr>
        <w:t xml:space="preserve">R. </w:t>
      </w:r>
      <w:r w:rsidRPr="0038583F">
        <w:rPr>
          <w:noProof/>
          <w:sz w:val="22"/>
          <w:szCs w:val="22"/>
        </w:rPr>
        <w:t xml:space="preserve">Tolia-Kelly, </w:t>
      </w:r>
      <w:r w:rsidR="00FA0099">
        <w:rPr>
          <w:noProof/>
          <w:sz w:val="22"/>
          <w:szCs w:val="22"/>
        </w:rPr>
        <w:t xml:space="preserve">D.P. </w:t>
      </w:r>
      <w:r w:rsidRPr="0038583F">
        <w:rPr>
          <w:noProof/>
          <w:sz w:val="22"/>
          <w:szCs w:val="22"/>
        </w:rPr>
        <w:t>Raghuram</w:t>
      </w:r>
      <w:r w:rsidR="00FA0099">
        <w:rPr>
          <w:noProof/>
          <w:sz w:val="22"/>
          <w:szCs w:val="22"/>
        </w:rPr>
        <w:t>, P.</w:t>
      </w:r>
      <w:r w:rsidRPr="0038583F">
        <w:rPr>
          <w:noProof/>
          <w:sz w:val="22"/>
          <w:szCs w:val="22"/>
        </w:rPr>
        <w:t xml:space="preserve"> Winders</w:t>
      </w:r>
      <w:r w:rsidR="00FA0099">
        <w:rPr>
          <w:noProof/>
          <w:sz w:val="22"/>
          <w:szCs w:val="22"/>
        </w:rPr>
        <w:t>, P.</w:t>
      </w:r>
      <w:r w:rsidRPr="0038583F">
        <w:rPr>
          <w:noProof/>
          <w:sz w:val="22"/>
          <w:szCs w:val="22"/>
        </w:rPr>
        <w:t> (2013) Postcolonial migrations, </w:t>
      </w:r>
      <w:r w:rsidRPr="00FA0099">
        <w:rPr>
          <w:i/>
          <w:noProof/>
          <w:sz w:val="22"/>
          <w:szCs w:val="22"/>
        </w:rPr>
        <w:t>Social &amp; Cultural Geography</w:t>
      </w:r>
      <w:r w:rsidR="008F5A68">
        <w:rPr>
          <w:noProof/>
          <w:sz w:val="22"/>
          <w:szCs w:val="22"/>
        </w:rPr>
        <w:t>, 14(</w:t>
      </w:r>
      <w:r w:rsidRPr="0038583F">
        <w:rPr>
          <w:noProof/>
          <w:sz w:val="22"/>
          <w:szCs w:val="22"/>
        </w:rPr>
        <w:t>2</w:t>
      </w:r>
      <w:r w:rsidR="008F5A68">
        <w:rPr>
          <w:noProof/>
          <w:sz w:val="22"/>
          <w:szCs w:val="22"/>
        </w:rPr>
        <w:t>):</w:t>
      </w:r>
      <w:r w:rsidRPr="0038583F">
        <w:rPr>
          <w:noProof/>
          <w:sz w:val="22"/>
          <w:szCs w:val="22"/>
        </w:rPr>
        <w:t>131-144</w:t>
      </w:r>
    </w:p>
    <w:p w14:paraId="4BE68BBE" w14:textId="77777777" w:rsidR="0038583F" w:rsidRPr="0038583F" w:rsidRDefault="0038583F" w:rsidP="00BC05D7">
      <w:pPr>
        <w:ind w:left="720" w:hanging="720"/>
        <w:jc w:val="both"/>
        <w:rPr>
          <w:noProof/>
          <w:sz w:val="22"/>
          <w:szCs w:val="22"/>
        </w:rPr>
      </w:pPr>
    </w:p>
    <w:p w14:paraId="668BE33E" w14:textId="13DCAE57" w:rsidR="0038583F" w:rsidRDefault="0038583F" w:rsidP="00BC05D7">
      <w:pPr>
        <w:ind w:left="720" w:hanging="720"/>
        <w:jc w:val="both"/>
        <w:rPr>
          <w:noProof/>
          <w:sz w:val="22"/>
          <w:szCs w:val="22"/>
        </w:rPr>
      </w:pPr>
      <w:r w:rsidRPr="0038583F">
        <w:rPr>
          <w:noProof/>
          <w:sz w:val="22"/>
          <w:szCs w:val="22"/>
        </w:rPr>
        <w:t xml:space="preserve">McNeil-Walsh, C. (2004). Widening the Discourse: A Case for the Use of Post-Colonial Theory in the Analysis of South African Nurse Migration to </w:t>
      </w:r>
      <w:r w:rsidR="008F5A68">
        <w:rPr>
          <w:noProof/>
          <w:sz w:val="22"/>
          <w:szCs w:val="22"/>
        </w:rPr>
        <w:t>Britain. </w:t>
      </w:r>
      <w:r w:rsidR="008F5A68" w:rsidRPr="00FA0099">
        <w:rPr>
          <w:i/>
          <w:noProof/>
          <w:sz w:val="22"/>
          <w:szCs w:val="22"/>
        </w:rPr>
        <w:t>Feminist Review</w:t>
      </w:r>
      <w:r w:rsidR="008F5A68">
        <w:rPr>
          <w:noProof/>
          <w:sz w:val="22"/>
          <w:szCs w:val="22"/>
        </w:rPr>
        <w:t>, 77:</w:t>
      </w:r>
      <w:r w:rsidRPr="0038583F">
        <w:rPr>
          <w:noProof/>
          <w:sz w:val="22"/>
          <w:szCs w:val="22"/>
        </w:rPr>
        <w:t>120-124</w:t>
      </w:r>
    </w:p>
    <w:p w14:paraId="0BCD1CF1" w14:textId="77777777" w:rsidR="00B15A85" w:rsidRDefault="00B15A85" w:rsidP="00BC05D7">
      <w:pPr>
        <w:ind w:left="720" w:hanging="720"/>
        <w:jc w:val="both"/>
        <w:rPr>
          <w:noProof/>
          <w:sz w:val="22"/>
          <w:szCs w:val="22"/>
        </w:rPr>
      </w:pPr>
    </w:p>
    <w:p w14:paraId="4F50552E" w14:textId="4687C4C7" w:rsidR="00B15A85" w:rsidRPr="002A58D8" w:rsidRDefault="00B15A85" w:rsidP="00BC05D7">
      <w:pPr>
        <w:ind w:left="720" w:hanging="720"/>
        <w:jc w:val="both"/>
        <w:rPr>
          <w:noProof/>
          <w:sz w:val="22"/>
          <w:szCs w:val="22"/>
        </w:rPr>
      </w:pPr>
      <w:r w:rsidRPr="002A58D8">
        <w:rPr>
          <w:noProof/>
          <w:sz w:val="22"/>
          <w:szCs w:val="22"/>
        </w:rPr>
        <w:t xml:space="preserve">Mohapatra, P. </w:t>
      </w:r>
      <w:r w:rsidR="00FA0099">
        <w:rPr>
          <w:noProof/>
          <w:sz w:val="22"/>
          <w:szCs w:val="22"/>
        </w:rPr>
        <w:t xml:space="preserve">(2007) </w:t>
      </w:r>
      <w:r w:rsidRPr="002A58D8">
        <w:rPr>
          <w:noProof/>
          <w:sz w:val="22"/>
          <w:szCs w:val="22"/>
        </w:rPr>
        <w:t xml:space="preserve">Eurocentrism, Forced Labour, and Global Migration: A Critical </w:t>
      </w:r>
      <w:r w:rsidR="00FA0099">
        <w:rPr>
          <w:noProof/>
          <w:sz w:val="22"/>
          <w:szCs w:val="22"/>
        </w:rPr>
        <w:t>Assessment.</w:t>
      </w:r>
      <w:r w:rsidRPr="002A58D8">
        <w:rPr>
          <w:noProof/>
          <w:sz w:val="22"/>
          <w:szCs w:val="22"/>
        </w:rPr>
        <w:t xml:space="preserve">  </w:t>
      </w:r>
      <w:r w:rsidRPr="00FA0099">
        <w:rPr>
          <w:i/>
          <w:noProof/>
          <w:sz w:val="22"/>
          <w:szCs w:val="22"/>
        </w:rPr>
        <w:t>International Review of Social History</w:t>
      </w:r>
      <w:r w:rsidR="00FA0099">
        <w:rPr>
          <w:noProof/>
          <w:sz w:val="22"/>
          <w:szCs w:val="22"/>
        </w:rPr>
        <w:t>, 52</w:t>
      </w:r>
      <w:r w:rsidRPr="002A58D8">
        <w:rPr>
          <w:noProof/>
          <w:sz w:val="22"/>
          <w:szCs w:val="22"/>
        </w:rPr>
        <w:t>(1):110-115.</w:t>
      </w:r>
    </w:p>
    <w:p w14:paraId="56DBF4EF" w14:textId="77777777" w:rsidR="00B15A85" w:rsidRPr="0038583F" w:rsidRDefault="00B15A85" w:rsidP="00BC05D7">
      <w:pPr>
        <w:ind w:left="720" w:hanging="720"/>
        <w:jc w:val="both"/>
        <w:rPr>
          <w:noProof/>
          <w:sz w:val="22"/>
          <w:szCs w:val="22"/>
        </w:rPr>
      </w:pPr>
    </w:p>
    <w:p w14:paraId="460F1AC8" w14:textId="77777777" w:rsidR="00FA0099" w:rsidRDefault="00FA0099" w:rsidP="00BC05D7">
      <w:pPr>
        <w:ind w:left="720" w:hanging="720"/>
        <w:jc w:val="both"/>
        <w:rPr>
          <w:noProof/>
          <w:sz w:val="22"/>
          <w:szCs w:val="22"/>
        </w:rPr>
      </w:pPr>
      <w:r w:rsidRPr="0038583F">
        <w:rPr>
          <w:noProof/>
          <w:sz w:val="22"/>
          <w:szCs w:val="22"/>
        </w:rPr>
        <w:t xml:space="preserve">Nair, P. (2013). Postcolonial theories of migration. In </w:t>
      </w:r>
      <w:r w:rsidRPr="00FA0099">
        <w:rPr>
          <w:i/>
          <w:noProof/>
          <w:sz w:val="22"/>
          <w:szCs w:val="22"/>
        </w:rPr>
        <w:t>The Encyclopedia of Global Human Migration</w:t>
      </w:r>
      <w:r w:rsidRPr="0038583F">
        <w:rPr>
          <w:noProof/>
          <w:sz w:val="22"/>
          <w:szCs w:val="22"/>
        </w:rPr>
        <w:t>, I. Ness (Ed.)</w:t>
      </w:r>
    </w:p>
    <w:p w14:paraId="3C86D4C3" w14:textId="77777777" w:rsidR="00FA0099" w:rsidRDefault="00FA0099" w:rsidP="00BC05D7">
      <w:pPr>
        <w:ind w:left="720" w:hanging="720"/>
        <w:jc w:val="both"/>
        <w:rPr>
          <w:noProof/>
          <w:sz w:val="22"/>
          <w:szCs w:val="22"/>
        </w:rPr>
      </w:pPr>
    </w:p>
    <w:p w14:paraId="71850506" w14:textId="77777777" w:rsidR="00FA0099" w:rsidRDefault="00FA0099" w:rsidP="00BC05D7">
      <w:pPr>
        <w:ind w:left="720" w:hanging="720"/>
        <w:jc w:val="both"/>
        <w:rPr>
          <w:noProof/>
          <w:sz w:val="22"/>
          <w:szCs w:val="22"/>
        </w:rPr>
      </w:pPr>
      <w:r w:rsidRPr="0038583F">
        <w:rPr>
          <w:noProof/>
          <w:sz w:val="22"/>
          <w:szCs w:val="22"/>
        </w:rPr>
        <w:t xml:space="preserve">Ndlovu-Gatsheni S.J. (2018) Decolonising Borders, Decriminalising Migration and Rethinking Citizenship. In: Magidimisha H., Khalema N., Chipungu L., Chirimambowa T., Chimedza T. (eds) </w:t>
      </w:r>
      <w:r w:rsidRPr="002A58D8">
        <w:rPr>
          <w:noProof/>
          <w:sz w:val="22"/>
          <w:szCs w:val="22"/>
        </w:rPr>
        <w:t>Crisis, Identity and Migration in Post-Colonial Southern Africa</w:t>
      </w:r>
      <w:r w:rsidRPr="0038583F">
        <w:rPr>
          <w:noProof/>
          <w:sz w:val="22"/>
          <w:szCs w:val="22"/>
        </w:rPr>
        <w:t>. Advances in African Economic, Social and Political Development. Springer, Cham</w:t>
      </w:r>
    </w:p>
    <w:p w14:paraId="1B9D02E6" w14:textId="77777777" w:rsidR="00FA0099" w:rsidRDefault="00FA0099" w:rsidP="00BC05D7">
      <w:pPr>
        <w:ind w:left="720" w:hanging="720"/>
        <w:jc w:val="both"/>
        <w:rPr>
          <w:noProof/>
          <w:sz w:val="22"/>
          <w:szCs w:val="22"/>
        </w:rPr>
      </w:pPr>
    </w:p>
    <w:p w14:paraId="0CADE78C" w14:textId="278726AF" w:rsidR="00FA0099" w:rsidRPr="0038583F" w:rsidRDefault="00FA0099" w:rsidP="00BC05D7">
      <w:pPr>
        <w:ind w:left="720" w:hanging="720"/>
        <w:jc w:val="both"/>
        <w:rPr>
          <w:noProof/>
          <w:sz w:val="22"/>
          <w:szCs w:val="22"/>
        </w:rPr>
      </w:pPr>
      <w:r w:rsidRPr="002A58D8">
        <w:rPr>
          <w:noProof/>
          <w:sz w:val="22"/>
          <w:szCs w:val="22"/>
        </w:rPr>
        <w:t>Sauc</w:t>
      </w:r>
      <w:r>
        <w:rPr>
          <w:noProof/>
          <w:sz w:val="22"/>
          <w:szCs w:val="22"/>
        </w:rPr>
        <w:t>ier, P. K., T.P. Woods, T.P.</w:t>
      </w:r>
      <w:r w:rsidRPr="002A58D8">
        <w:rPr>
          <w:noProof/>
          <w:sz w:val="22"/>
          <w:szCs w:val="22"/>
        </w:rPr>
        <w:t xml:space="preserve"> </w:t>
      </w:r>
      <w:r>
        <w:rPr>
          <w:noProof/>
          <w:sz w:val="22"/>
          <w:szCs w:val="22"/>
        </w:rPr>
        <w:t>(</w:t>
      </w:r>
      <w:r w:rsidRPr="002A58D8">
        <w:rPr>
          <w:noProof/>
          <w:sz w:val="22"/>
          <w:szCs w:val="22"/>
        </w:rPr>
        <w:t>2014</w:t>
      </w:r>
      <w:r>
        <w:rPr>
          <w:noProof/>
          <w:sz w:val="22"/>
          <w:szCs w:val="22"/>
        </w:rPr>
        <w:t xml:space="preserve">). </w:t>
      </w:r>
      <w:r w:rsidRPr="002A58D8">
        <w:rPr>
          <w:noProof/>
          <w:sz w:val="22"/>
          <w:szCs w:val="22"/>
        </w:rPr>
        <w:t>Ex Aqua: The Mediterranean Basin, Africans on the Move</w:t>
      </w:r>
      <w:r>
        <w:rPr>
          <w:noProof/>
          <w:sz w:val="22"/>
          <w:szCs w:val="22"/>
        </w:rPr>
        <w:t xml:space="preserve">, and the Politics of Policing, </w:t>
      </w:r>
      <w:r w:rsidRPr="002A58D8">
        <w:rPr>
          <w:i/>
          <w:noProof/>
          <w:sz w:val="22"/>
          <w:szCs w:val="22"/>
        </w:rPr>
        <w:t>Theoria: A Journal of Social and Political Theory</w:t>
      </w:r>
      <w:r>
        <w:rPr>
          <w:i/>
          <w:noProof/>
          <w:sz w:val="22"/>
          <w:szCs w:val="22"/>
        </w:rPr>
        <w:t>,</w:t>
      </w:r>
      <w:r>
        <w:rPr>
          <w:noProof/>
          <w:sz w:val="22"/>
          <w:szCs w:val="22"/>
        </w:rPr>
        <w:t xml:space="preserve"> 61</w:t>
      </w:r>
      <w:r w:rsidRPr="002A58D8">
        <w:rPr>
          <w:noProof/>
          <w:sz w:val="22"/>
          <w:szCs w:val="22"/>
        </w:rPr>
        <w:t>(141):55-75.</w:t>
      </w:r>
    </w:p>
    <w:p w14:paraId="1F99BEF5" w14:textId="77777777" w:rsidR="0038583F" w:rsidRPr="0038583F" w:rsidRDefault="0038583F" w:rsidP="00BC05D7">
      <w:pPr>
        <w:ind w:left="720" w:hanging="720"/>
        <w:jc w:val="both"/>
        <w:rPr>
          <w:noProof/>
          <w:sz w:val="22"/>
          <w:szCs w:val="22"/>
        </w:rPr>
      </w:pPr>
    </w:p>
    <w:p w14:paraId="1418FC3A" w14:textId="443402F3" w:rsidR="008F5A68" w:rsidRPr="0038583F" w:rsidRDefault="0038583F" w:rsidP="00BC05D7">
      <w:pPr>
        <w:ind w:left="720" w:hanging="720"/>
        <w:jc w:val="both"/>
        <w:rPr>
          <w:noProof/>
          <w:sz w:val="22"/>
          <w:szCs w:val="22"/>
        </w:rPr>
      </w:pPr>
      <w:r w:rsidRPr="007F45D5">
        <w:rPr>
          <w:noProof/>
          <w:sz w:val="22"/>
          <w:szCs w:val="22"/>
        </w:rPr>
        <w:t>Tudor, A. (2018) Cross-fadings of racialisation and migratisation: the postcolonial turn in Western European gender and migration studies, </w:t>
      </w:r>
      <w:r w:rsidRPr="007F45D5">
        <w:rPr>
          <w:i/>
          <w:noProof/>
          <w:sz w:val="22"/>
          <w:szCs w:val="22"/>
        </w:rPr>
        <w:t>Gender, Place &amp; Culture</w:t>
      </w:r>
      <w:r w:rsidRPr="007F45D5">
        <w:rPr>
          <w:noProof/>
          <w:sz w:val="22"/>
          <w:szCs w:val="22"/>
        </w:rPr>
        <w:t>, DOI: </w:t>
      </w:r>
      <w:hyperlink r:id="rId12" w:history="1">
        <w:r w:rsidRPr="007F45D5">
          <w:rPr>
            <w:noProof/>
            <w:sz w:val="22"/>
            <w:szCs w:val="22"/>
          </w:rPr>
          <w:t>10.1080/0966369X.2018.1441141</w:t>
        </w:r>
      </w:hyperlink>
    </w:p>
    <w:p w14:paraId="0F6386F6" w14:textId="77777777" w:rsidR="00E252D8" w:rsidRDefault="00E252D8" w:rsidP="0038583F">
      <w:pPr>
        <w:jc w:val="both"/>
        <w:rPr>
          <w:noProof/>
          <w:sz w:val="22"/>
          <w:szCs w:val="22"/>
        </w:rPr>
      </w:pPr>
    </w:p>
    <w:p w14:paraId="783D4FA0" w14:textId="77777777" w:rsidR="00E252D8" w:rsidRPr="0038583F" w:rsidRDefault="00E252D8" w:rsidP="0038583F">
      <w:pPr>
        <w:jc w:val="both"/>
        <w:rPr>
          <w:noProof/>
          <w:sz w:val="22"/>
          <w:szCs w:val="22"/>
        </w:rPr>
      </w:pPr>
    </w:p>
    <w:p w14:paraId="0E9E4D71" w14:textId="77777777" w:rsidR="0038583F" w:rsidRPr="0038583F" w:rsidRDefault="0038583F" w:rsidP="0038583F">
      <w:pPr>
        <w:jc w:val="both"/>
        <w:rPr>
          <w:noProof/>
          <w:sz w:val="22"/>
          <w:szCs w:val="22"/>
        </w:rPr>
      </w:pPr>
    </w:p>
    <w:p w14:paraId="1C456723" w14:textId="63E24522" w:rsidR="0038583F" w:rsidRPr="00FA0099" w:rsidRDefault="0038583F" w:rsidP="00D3169E">
      <w:pPr>
        <w:jc w:val="both"/>
        <w:rPr>
          <w:i/>
          <w:noProof/>
          <w:sz w:val="22"/>
          <w:szCs w:val="22"/>
        </w:rPr>
      </w:pPr>
      <w:r w:rsidRPr="00FA0099">
        <w:rPr>
          <w:i/>
          <w:noProof/>
          <w:sz w:val="22"/>
          <w:szCs w:val="22"/>
        </w:rPr>
        <w:t>Further readings on/from postcolonialism and decoloniality</w:t>
      </w:r>
    </w:p>
    <w:p w14:paraId="3B980B4F" w14:textId="77777777" w:rsidR="00B15A85" w:rsidRPr="002A58D8" w:rsidRDefault="00B15A85" w:rsidP="002A58D8">
      <w:pPr>
        <w:jc w:val="both"/>
        <w:rPr>
          <w:noProof/>
          <w:sz w:val="22"/>
          <w:szCs w:val="22"/>
        </w:rPr>
      </w:pPr>
    </w:p>
    <w:p w14:paraId="3DF9FAD6" w14:textId="41510E69" w:rsidR="00B15A85" w:rsidRPr="002A58D8" w:rsidRDefault="00FA0099" w:rsidP="002A58D8">
      <w:pPr>
        <w:jc w:val="both"/>
        <w:rPr>
          <w:noProof/>
          <w:sz w:val="22"/>
          <w:szCs w:val="22"/>
        </w:rPr>
      </w:pPr>
      <w:r>
        <w:rPr>
          <w:noProof/>
          <w:sz w:val="22"/>
          <w:szCs w:val="22"/>
        </w:rPr>
        <w:lastRenderedPageBreak/>
        <w:t>Amin, S</w:t>
      </w:r>
      <w:r w:rsidR="00B15A85" w:rsidRPr="002A58D8">
        <w:rPr>
          <w:noProof/>
          <w:sz w:val="22"/>
          <w:szCs w:val="22"/>
        </w:rPr>
        <w:t xml:space="preserve">. </w:t>
      </w:r>
      <w:r>
        <w:rPr>
          <w:noProof/>
          <w:sz w:val="22"/>
          <w:szCs w:val="22"/>
        </w:rPr>
        <w:t>(</w:t>
      </w:r>
      <w:r w:rsidR="00B15A85" w:rsidRPr="002A58D8">
        <w:rPr>
          <w:noProof/>
          <w:sz w:val="22"/>
          <w:szCs w:val="22"/>
        </w:rPr>
        <w:t>1988</w:t>
      </w:r>
      <w:r>
        <w:rPr>
          <w:noProof/>
          <w:sz w:val="22"/>
          <w:szCs w:val="22"/>
        </w:rPr>
        <w:t>)</w:t>
      </w:r>
      <w:r w:rsidR="00B15A85" w:rsidRPr="002A58D8">
        <w:rPr>
          <w:noProof/>
          <w:sz w:val="22"/>
          <w:szCs w:val="22"/>
        </w:rPr>
        <w:t xml:space="preserve">. </w:t>
      </w:r>
      <w:r w:rsidR="00B15A85" w:rsidRPr="00FA0099">
        <w:rPr>
          <w:i/>
          <w:noProof/>
          <w:sz w:val="22"/>
          <w:szCs w:val="22"/>
        </w:rPr>
        <w:t>Eurocentrism</w:t>
      </w:r>
      <w:r w:rsidR="00B15A85" w:rsidRPr="002A58D8">
        <w:rPr>
          <w:noProof/>
          <w:sz w:val="22"/>
          <w:szCs w:val="22"/>
        </w:rPr>
        <w:t>. London: Zed Books.</w:t>
      </w:r>
    </w:p>
    <w:p w14:paraId="2A6D3BB3" w14:textId="77777777" w:rsidR="00B15A85" w:rsidRPr="002A58D8" w:rsidRDefault="00B15A85" w:rsidP="002A58D8">
      <w:pPr>
        <w:jc w:val="both"/>
        <w:rPr>
          <w:noProof/>
          <w:sz w:val="22"/>
          <w:szCs w:val="22"/>
        </w:rPr>
      </w:pPr>
    </w:p>
    <w:p w14:paraId="1F8BF12D" w14:textId="3A18AD3F" w:rsidR="00B15A85" w:rsidRDefault="00B15A85" w:rsidP="00B15A85">
      <w:pPr>
        <w:jc w:val="both"/>
        <w:rPr>
          <w:noProof/>
          <w:sz w:val="22"/>
          <w:szCs w:val="22"/>
        </w:rPr>
      </w:pPr>
      <w:r w:rsidRPr="00FA0099">
        <w:rPr>
          <w:noProof/>
          <w:sz w:val="22"/>
          <w:szCs w:val="22"/>
        </w:rPr>
        <w:t xml:space="preserve">Anghie, A. 2008. </w:t>
      </w:r>
      <w:r w:rsidRPr="00FA0099">
        <w:rPr>
          <w:i/>
          <w:noProof/>
          <w:sz w:val="22"/>
          <w:szCs w:val="22"/>
        </w:rPr>
        <w:t>Imperialism, Sovereignty, and the Making of International Law</w:t>
      </w:r>
      <w:r w:rsidRPr="00FA0099">
        <w:rPr>
          <w:noProof/>
          <w:sz w:val="22"/>
          <w:szCs w:val="22"/>
        </w:rPr>
        <w:t>, Cambridge Studies in International and Comparative Law. Cambridge: Cambridge University Press.</w:t>
      </w:r>
    </w:p>
    <w:p w14:paraId="4A7B59A2" w14:textId="5EEFC7EC" w:rsidR="00FA0099" w:rsidRPr="00FA0099" w:rsidRDefault="00FA0099" w:rsidP="00FA0099">
      <w:pPr>
        <w:pStyle w:val="ListParagraph"/>
        <w:numPr>
          <w:ilvl w:val="0"/>
          <w:numId w:val="20"/>
        </w:numPr>
        <w:jc w:val="both"/>
        <w:rPr>
          <w:noProof/>
          <w:sz w:val="22"/>
          <w:szCs w:val="22"/>
        </w:rPr>
      </w:pPr>
      <w:r>
        <w:rPr>
          <w:noProof/>
          <w:sz w:val="22"/>
          <w:szCs w:val="22"/>
        </w:rPr>
        <w:t>Anghie is a key figure (with Chimni) in Third World Approaches to International Law (which is where postcolonial type discussions have occurred in Law) and this book is the starting point for lawyers interested in postcolonial perspectives.</w:t>
      </w:r>
    </w:p>
    <w:p w14:paraId="5FBB2AFE" w14:textId="77777777" w:rsidR="00B15A85" w:rsidRPr="00FA0099" w:rsidRDefault="00B15A85" w:rsidP="00B15A85">
      <w:pPr>
        <w:jc w:val="both"/>
        <w:rPr>
          <w:noProof/>
          <w:sz w:val="22"/>
          <w:szCs w:val="22"/>
        </w:rPr>
      </w:pPr>
    </w:p>
    <w:p w14:paraId="5646443A" w14:textId="77777777" w:rsidR="00B15A85" w:rsidRPr="00FA0099" w:rsidRDefault="00B15A85" w:rsidP="00FA0099">
      <w:pPr>
        <w:jc w:val="both"/>
        <w:rPr>
          <w:noProof/>
          <w:sz w:val="22"/>
          <w:szCs w:val="22"/>
        </w:rPr>
      </w:pPr>
      <w:r w:rsidRPr="00FA0099">
        <w:rPr>
          <w:noProof/>
          <w:sz w:val="22"/>
          <w:szCs w:val="22"/>
        </w:rPr>
        <w:t xml:space="preserve">Bhabha, Homi K. 2005 [1994]. </w:t>
      </w:r>
      <w:r w:rsidRPr="00FA0099">
        <w:rPr>
          <w:i/>
          <w:noProof/>
          <w:sz w:val="22"/>
          <w:szCs w:val="22"/>
        </w:rPr>
        <w:t>The Location of Culture</w:t>
      </w:r>
      <w:r w:rsidRPr="00FA0099">
        <w:rPr>
          <w:noProof/>
          <w:sz w:val="22"/>
          <w:szCs w:val="22"/>
        </w:rPr>
        <w:t>. London: Routledge.</w:t>
      </w:r>
    </w:p>
    <w:p w14:paraId="65A7FE5B" w14:textId="77777777" w:rsidR="00B15A85" w:rsidRPr="00745D36" w:rsidRDefault="00B15A85" w:rsidP="00B15A85">
      <w:pPr>
        <w:pStyle w:val="EndNoteBibliography"/>
        <w:ind w:left="720" w:hanging="720"/>
      </w:pPr>
    </w:p>
    <w:p w14:paraId="60B440B5" w14:textId="301946E4" w:rsidR="00B15A85" w:rsidRPr="00FA0099" w:rsidRDefault="00FA0099" w:rsidP="00FA0099">
      <w:pPr>
        <w:jc w:val="both"/>
        <w:rPr>
          <w:noProof/>
          <w:sz w:val="22"/>
          <w:szCs w:val="22"/>
        </w:rPr>
      </w:pPr>
      <w:r>
        <w:rPr>
          <w:noProof/>
          <w:sz w:val="22"/>
          <w:szCs w:val="22"/>
        </w:rPr>
        <w:t xml:space="preserve">Bhambra, G.K. (2014) </w:t>
      </w:r>
      <w:r w:rsidR="00B15A85" w:rsidRPr="00FA0099">
        <w:rPr>
          <w:noProof/>
          <w:sz w:val="22"/>
          <w:szCs w:val="22"/>
        </w:rPr>
        <w:t>Postcolo</w:t>
      </w:r>
      <w:r>
        <w:rPr>
          <w:noProof/>
          <w:sz w:val="22"/>
          <w:szCs w:val="22"/>
        </w:rPr>
        <w:t>nial and decolonial dialogues,</w:t>
      </w:r>
      <w:r w:rsidR="00B15A85" w:rsidRPr="00FA0099">
        <w:rPr>
          <w:noProof/>
          <w:sz w:val="22"/>
          <w:szCs w:val="22"/>
        </w:rPr>
        <w:t xml:space="preserve"> </w:t>
      </w:r>
      <w:r w:rsidR="00B15A85" w:rsidRPr="00FA0099">
        <w:rPr>
          <w:i/>
          <w:noProof/>
          <w:sz w:val="22"/>
          <w:szCs w:val="22"/>
        </w:rPr>
        <w:t>Postcolonial Studies</w:t>
      </w:r>
      <w:r>
        <w:rPr>
          <w:noProof/>
          <w:sz w:val="22"/>
          <w:szCs w:val="22"/>
        </w:rPr>
        <w:t xml:space="preserve"> 17</w:t>
      </w:r>
      <w:r w:rsidR="00B15A85" w:rsidRPr="00FA0099">
        <w:rPr>
          <w:noProof/>
          <w:sz w:val="22"/>
          <w:szCs w:val="22"/>
        </w:rPr>
        <w:t>(2):115-121.</w:t>
      </w:r>
    </w:p>
    <w:p w14:paraId="78D5D0E8" w14:textId="77777777" w:rsidR="00B15A85" w:rsidRPr="00FA0099" w:rsidRDefault="00B15A85" w:rsidP="00FA0099">
      <w:pPr>
        <w:jc w:val="both"/>
        <w:rPr>
          <w:noProof/>
          <w:sz w:val="22"/>
          <w:szCs w:val="22"/>
        </w:rPr>
      </w:pPr>
    </w:p>
    <w:p w14:paraId="7E233F36" w14:textId="490E3821" w:rsidR="00B15A85" w:rsidRPr="00FA0099" w:rsidRDefault="00B15A85" w:rsidP="00FA0099">
      <w:pPr>
        <w:jc w:val="both"/>
        <w:rPr>
          <w:noProof/>
          <w:sz w:val="22"/>
          <w:szCs w:val="22"/>
        </w:rPr>
      </w:pPr>
      <w:r w:rsidRPr="00FA0099">
        <w:rPr>
          <w:noProof/>
          <w:sz w:val="22"/>
          <w:szCs w:val="22"/>
        </w:rPr>
        <w:t>Bhambra, G.K., Gebrial,</w:t>
      </w:r>
      <w:r w:rsidR="00FA0099">
        <w:rPr>
          <w:noProof/>
          <w:sz w:val="22"/>
          <w:szCs w:val="22"/>
        </w:rPr>
        <w:t xml:space="preserve"> D.</w:t>
      </w:r>
      <w:r w:rsidRPr="00FA0099">
        <w:rPr>
          <w:noProof/>
          <w:sz w:val="22"/>
          <w:szCs w:val="22"/>
        </w:rPr>
        <w:t xml:space="preserve"> Nişancıoğlu, </w:t>
      </w:r>
      <w:r w:rsidR="00FA0099">
        <w:rPr>
          <w:noProof/>
          <w:sz w:val="22"/>
          <w:szCs w:val="22"/>
        </w:rPr>
        <w:t>K. (</w:t>
      </w:r>
      <w:r w:rsidRPr="00FA0099">
        <w:rPr>
          <w:noProof/>
          <w:sz w:val="22"/>
          <w:szCs w:val="22"/>
        </w:rPr>
        <w:t>eds</w:t>
      </w:r>
      <w:r w:rsidR="00FA0099">
        <w:rPr>
          <w:noProof/>
          <w:sz w:val="22"/>
          <w:szCs w:val="22"/>
        </w:rPr>
        <w:t>)</w:t>
      </w:r>
      <w:r w:rsidRPr="00FA0099">
        <w:rPr>
          <w:noProof/>
          <w:sz w:val="22"/>
          <w:szCs w:val="22"/>
        </w:rPr>
        <w:t xml:space="preserve">. </w:t>
      </w:r>
      <w:r w:rsidR="00FA0099">
        <w:rPr>
          <w:noProof/>
          <w:sz w:val="22"/>
          <w:szCs w:val="22"/>
        </w:rPr>
        <w:t>(</w:t>
      </w:r>
      <w:r w:rsidRPr="00FA0099">
        <w:rPr>
          <w:noProof/>
          <w:sz w:val="22"/>
          <w:szCs w:val="22"/>
        </w:rPr>
        <w:t>2018</w:t>
      </w:r>
      <w:r w:rsidR="00FA0099">
        <w:rPr>
          <w:noProof/>
          <w:sz w:val="22"/>
          <w:szCs w:val="22"/>
        </w:rPr>
        <w:t>)</w:t>
      </w:r>
      <w:r w:rsidRPr="00FA0099">
        <w:rPr>
          <w:noProof/>
          <w:sz w:val="22"/>
          <w:szCs w:val="22"/>
        </w:rPr>
        <w:t xml:space="preserve">. </w:t>
      </w:r>
      <w:r w:rsidRPr="00FA0099">
        <w:rPr>
          <w:i/>
          <w:noProof/>
          <w:sz w:val="22"/>
          <w:szCs w:val="22"/>
        </w:rPr>
        <w:t>Decolonising the University</w:t>
      </w:r>
      <w:r w:rsidRPr="00FA0099">
        <w:rPr>
          <w:noProof/>
          <w:sz w:val="22"/>
          <w:szCs w:val="22"/>
        </w:rPr>
        <w:t>. London: Pluto Press.</w:t>
      </w:r>
    </w:p>
    <w:p w14:paraId="7B97BB16" w14:textId="77777777" w:rsidR="00B15A85" w:rsidRPr="00FA0099" w:rsidRDefault="00B15A85" w:rsidP="00FA0099">
      <w:pPr>
        <w:jc w:val="both"/>
        <w:rPr>
          <w:noProof/>
          <w:sz w:val="22"/>
          <w:szCs w:val="22"/>
        </w:rPr>
      </w:pPr>
    </w:p>
    <w:p w14:paraId="200B0318" w14:textId="77777777" w:rsidR="00B15A85" w:rsidRPr="00FA0099" w:rsidRDefault="00B15A85" w:rsidP="00B15A85">
      <w:pPr>
        <w:pStyle w:val="EndNoteBibliography"/>
        <w:ind w:left="720" w:hanging="720"/>
        <w:rPr>
          <w:sz w:val="22"/>
          <w:szCs w:val="22"/>
        </w:rPr>
      </w:pPr>
      <w:r w:rsidRPr="00FA0099">
        <w:rPr>
          <w:sz w:val="22"/>
          <w:szCs w:val="22"/>
        </w:rPr>
        <w:t xml:space="preserve">Bhambra, Gurminder.K. 2007. </w:t>
      </w:r>
      <w:r w:rsidRPr="00FA0099">
        <w:rPr>
          <w:i/>
          <w:sz w:val="22"/>
          <w:szCs w:val="22"/>
        </w:rPr>
        <w:t>Rethinking Modernity: Postcolonialism and the Sociological Imagination</w:t>
      </w:r>
      <w:r w:rsidRPr="00FA0099">
        <w:rPr>
          <w:sz w:val="22"/>
          <w:szCs w:val="22"/>
        </w:rPr>
        <w:t>. Basingstoke: Palgrave Macmillan.</w:t>
      </w:r>
    </w:p>
    <w:p w14:paraId="7AB57BA3" w14:textId="77777777" w:rsidR="00B15A85" w:rsidRPr="00FA0099" w:rsidRDefault="00B15A85" w:rsidP="00B15A85">
      <w:pPr>
        <w:pStyle w:val="EndNoteBibliography"/>
        <w:ind w:left="720" w:hanging="720"/>
        <w:rPr>
          <w:sz w:val="22"/>
          <w:szCs w:val="22"/>
        </w:rPr>
      </w:pPr>
    </w:p>
    <w:p w14:paraId="1F55251C" w14:textId="0AF008C7" w:rsidR="00B15A85" w:rsidRPr="00FA0099" w:rsidRDefault="00B15A85" w:rsidP="00B15A85">
      <w:pPr>
        <w:pStyle w:val="EndNoteBibliography"/>
        <w:ind w:left="720" w:hanging="720"/>
        <w:rPr>
          <w:sz w:val="22"/>
          <w:szCs w:val="22"/>
        </w:rPr>
      </w:pPr>
      <w:r w:rsidRPr="00FA0099">
        <w:rPr>
          <w:sz w:val="22"/>
          <w:szCs w:val="22"/>
        </w:rPr>
        <w:t xml:space="preserve">Chakrabarty, D. 2000. </w:t>
      </w:r>
      <w:r w:rsidRPr="00FA0099">
        <w:rPr>
          <w:i/>
          <w:sz w:val="22"/>
          <w:szCs w:val="22"/>
        </w:rPr>
        <w:t>Provincializing Europe: Postcolonial Thought and Historical Difference</w:t>
      </w:r>
      <w:r w:rsidRPr="00FA0099">
        <w:rPr>
          <w:sz w:val="22"/>
          <w:szCs w:val="22"/>
        </w:rPr>
        <w:t>. Oxford: Princeton University Press.</w:t>
      </w:r>
    </w:p>
    <w:p w14:paraId="0582CEEB" w14:textId="77777777" w:rsidR="00B15A85" w:rsidRPr="00FA0099" w:rsidRDefault="00B15A85" w:rsidP="00B15A85">
      <w:pPr>
        <w:pStyle w:val="EndNoteBibliography"/>
        <w:ind w:left="720" w:hanging="720"/>
        <w:rPr>
          <w:sz w:val="22"/>
          <w:szCs w:val="22"/>
        </w:rPr>
      </w:pPr>
    </w:p>
    <w:p w14:paraId="2FF8980F" w14:textId="6E92BD2A" w:rsidR="00B15A85" w:rsidRDefault="00B15A85" w:rsidP="00B15A85">
      <w:pPr>
        <w:pStyle w:val="EndNoteBibliography"/>
        <w:ind w:left="720" w:hanging="720"/>
        <w:rPr>
          <w:sz w:val="22"/>
          <w:szCs w:val="22"/>
        </w:rPr>
      </w:pPr>
      <w:r w:rsidRPr="00FA0099">
        <w:rPr>
          <w:sz w:val="22"/>
          <w:szCs w:val="22"/>
        </w:rPr>
        <w:t xml:space="preserve">Dussel, E. </w:t>
      </w:r>
      <w:r w:rsidR="00BC05D7">
        <w:rPr>
          <w:sz w:val="22"/>
          <w:szCs w:val="22"/>
        </w:rPr>
        <w:t>(1995)</w:t>
      </w:r>
      <w:r w:rsidRPr="00FA0099">
        <w:rPr>
          <w:sz w:val="22"/>
          <w:szCs w:val="22"/>
        </w:rPr>
        <w:t xml:space="preserve"> "Eurocentrism and Modernity (Introduction to the Frankfurt Lectures)." In </w:t>
      </w:r>
      <w:r w:rsidRPr="00FA0099">
        <w:rPr>
          <w:i/>
          <w:sz w:val="22"/>
          <w:szCs w:val="22"/>
        </w:rPr>
        <w:t>The Postmodernism Debate in Latin America</w:t>
      </w:r>
      <w:r w:rsidRPr="00FA0099">
        <w:rPr>
          <w:sz w:val="22"/>
          <w:szCs w:val="22"/>
        </w:rPr>
        <w:t>, edited by John. Beverley, Jose. Oviedo and Michael Aronn, 65-77. Durham, US: Duke University Press.</w:t>
      </w:r>
    </w:p>
    <w:p w14:paraId="0E6FEB79" w14:textId="77777777" w:rsidR="00BC05D7" w:rsidRPr="00FA0099" w:rsidRDefault="00BC05D7" w:rsidP="00B15A85">
      <w:pPr>
        <w:pStyle w:val="EndNoteBibliography"/>
        <w:ind w:left="720" w:hanging="720"/>
        <w:rPr>
          <w:sz w:val="22"/>
          <w:szCs w:val="22"/>
        </w:rPr>
      </w:pPr>
    </w:p>
    <w:p w14:paraId="6EEE3590" w14:textId="36C378B3" w:rsidR="00B15A85" w:rsidRDefault="00BC05D7" w:rsidP="00B15A85">
      <w:pPr>
        <w:pStyle w:val="EndNoteBibliography"/>
        <w:ind w:left="720" w:hanging="720"/>
        <w:rPr>
          <w:sz w:val="22"/>
          <w:szCs w:val="22"/>
        </w:rPr>
      </w:pPr>
      <w:r>
        <w:rPr>
          <w:sz w:val="22"/>
          <w:szCs w:val="22"/>
        </w:rPr>
        <w:t>Fanon, F</w:t>
      </w:r>
      <w:r w:rsidR="00B15A85" w:rsidRPr="00FA0099">
        <w:rPr>
          <w:sz w:val="22"/>
          <w:szCs w:val="22"/>
        </w:rPr>
        <w:t xml:space="preserve">. </w:t>
      </w:r>
      <w:r>
        <w:rPr>
          <w:sz w:val="22"/>
          <w:szCs w:val="22"/>
        </w:rPr>
        <w:t>(</w:t>
      </w:r>
      <w:r w:rsidR="00B15A85" w:rsidRPr="00FA0099">
        <w:rPr>
          <w:sz w:val="22"/>
          <w:szCs w:val="22"/>
        </w:rPr>
        <w:t>1967</w:t>
      </w:r>
      <w:r>
        <w:rPr>
          <w:sz w:val="22"/>
          <w:szCs w:val="22"/>
        </w:rPr>
        <w:t>)</w:t>
      </w:r>
      <w:r w:rsidR="00B15A85" w:rsidRPr="00FA0099">
        <w:rPr>
          <w:sz w:val="22"/>
          <w:szCs w:val="22"/>
        </w:rPr>
        <w:t xml:space="preserve">. </w:t>
      </w:r>
      <w:r w:rsidR="00B15A85" w:rsidRPr="00FA0099">
        <w:rPr>
          <w:i/>
          <w:sz w:val="22"/>
          <w:szCs w:val="22"/>
        </w:rPr>
        <w:t>The Wretched of the Earth</w:t>
      </w:r>
      <w:r w:rsidR="00B15A85" w:rsidRPr="00FA0099">
        <w:rPr>
          <w:sz w:val="22"/>
          <w:szCs w:val="22"/>
        </w:rPr>
        <w:t>. Harmondsworth: Penguin.</w:t>
      </w:r>
    </w:p>
    <w:p w14:paraId="2040FE17" w14:textId="77777777" w:rsidR="00BC05D7" w:rsidRPr="00FA0099" w:rsidRDefault="00BC05D7" w:rsidP="00B15A85">
      <w:pPr>
        <w:pStyle w:val="EndNoteBibliography"/>
        <w:ind w:left="720" w:hanging="720"/>
        <w:rPr>
          <w:sz w:val="22"/>
          <w:szCs w:val="22"/>
        </w:rPr>
      </w:pPr>
    </w:p>
    <w:p w14:paraId="4389C568" w14:textId="36A62E0A" w:rsidR="00B15A85" w:rsidRPr="00FA0099" w:rsidRDefault="00BC05D7" w:rsidP="00B15A85">
      <w:pPr>
        <w:pStyle w:val="EndNoteBibliography"/>
        <w:ind w:left="720" w:hanging="720"/>
        <w:rPr>
          <w:sz w:val="22"/>
          <w:szCs w:val="22"/>
        </w:rPr>
      </w:pPr>
      <w:r>
        <w:rPr>
          <w:sz w:val="22"/>
          <w:szCs w:val="22"/>
        </w:rPr>
        <w:t>Fanon, F</w:t>
      </w:r>
      <w:r w:rsidR="00B15A85" w:rsidRPr="00FA0099">
        <w:rPr>
          <w:sz w:val="22"/>
          <w:szCs w:val="22"/>
        </w:rPr>
        <w:t xml:space="preserve">. </w:t>
      </w:r>
      <w:r>
        <w:rPr>
          <w:sz w:val="22"/>
          <w:szCs w:val="22"/>
        </w:rPr>
        <w:t>(</w:t>
      </w:r>
      <w:r w:rsidR="00B15A85" w:rsidRPr="00FA0099">
        <w:rPr>
          <w:sz w:val="22"/>
          <w:szCs w:val="22"/>
        </w:rPr>
        <w:t>2008</w:t>
      </w:r>
      <w:r>
        <w:rPr>
          <w:sz w:val="22"/>
          <w:szCs w:val="22"/>
        </w:rPr>
        <w:t>)</w:t>
      </w:r>
      <w:r w:rsidR="00B15A85" w:rsidRPr="00FA0099">
        <w:rPr>
          <w:sz w:val="22"/>
          <w:szCs w:val="22"/>
        </w:rPr>
        <w:t xml:space="preserve">. </w:t>
      </w:r>
      <w:r w:rsidR="00B15A85" w:rsidRPr="00FA0099">
        <w:rPr>
          <w:i/>
          <w:sz w:val="22"/>
          <w:szCs w:val="22"/>
        </w:rPr>
        <w:t>Black Skin, White Masks</w:t>
      </w:r>
      <w:r w:rsidR="00B15A85" w:rsidRPr="00FA0099">
        <w:rPr>
          <w:sz w:val="22"/>
          <w:szCs w:val="22"/>
        </w:rPr>
        <w:t>. London: Pluto.</w:t>
      </w:r>
    </w:p>
    <w:p w14:paraId="61E7FB91" w14:textId="77777777" w:rsidR="0038583F" w:rsidRPr="00FA0099" w:rsidRDefault="0038583F" w:rsidP="0038583F">
      <w:pPr>
        <w:jc w:val="both"/>
        <w:rPr>
          <w:noProof/>
          <w:sz w:val="22"/>
          <w:szCs w:val="22"/>
        </w:rPr>
      </w:pPr>
    </w:p>
    <w:p w14:paraId="306E53EE" w14:textId="77777777" w:rsidR="0038583F" w:rsidRPr="00BC05D7" w:rsidRDefault="0038583F" w:rsidP="0038583F">
      <w:pPr>
        <w:jc w:val="both"/>
        <w:rPr>
          <w:i/>
          <w:noProof/>
          <w:sz w:val="22"/>
          <w:szCs w:val="22"/>
        </w:rPr>
      </w:pPr>
      <w:r w:rsidRPr="00FA0099">
        <w:rPr>
          <w:noProof/>
          <w:sz w:val="22"/>
          <w:szCs w:val="22"/>
        </w:rPr>
        <w:t xml:space="preserve">Lorde, A. (1984) The Masters Tools wil Never Dismantle the Masters House, in </w:t>
      </w:r>
      <w:r w:rsidRPr="00BC05D7">
        <w:rPr>
          <w:i/>
          <w:noProof/>
          <w:sz w:val="22"/>
          <w:szCs w:val="22"/>
        </w:rPr>
        <w:t>Sister Outsider: Essays and Speeches</w:t>
      </w:r>
    </w:p>
    <w:p w14:paraId="454F8644" w14:textId="304696C2" w:rsidR="00B15A85" w:rsidRPr="00FA0099" w:rsidRDefault="00125E19" w:rsidP="0038583F">
      <w:pPr>
        <w:jc w:val="both"/>
        <w:rPr>
          <w:noProof/>
          <w:sz w:val="22"/>
          <w:szCs w:val="22"/>
        </w:rPr>
      </w:pPr>
      <w:r>
        <w:rPr>
          <w:noProof/>
          <w:sz w:val="22"/>
          <w:szCs w:val="22"/>
        </w:rPr>
        <w:t xml:space="preserve"> </w:t>
      </w:r>
    </w:p>
    <w:p w14:paraId="7B180A1F" w14:textId="248B51C0" w:rsidR="00B15A85" w:rsidRDefault="00BC05D7" w:rsidP="00B15A85">
      <w:pPr>
        <w:pStyle w:val="EndNoteBibliography"/>
        <w:ind w:left="720" w:hanging="720"/>
        <w:rPr>
          <w:sz w:val="22"/>
          <w:szCs w:val="22"/>
        </w:rPr>
      </w:pPr>
      <w:r>
        <w:rPr>
          <w:sz w:val="22"/>
          <w:szCs w:val="22"/>
        </w:rPr>
        <w:t>Mazower, M</w:t>
      </w:r>
      <w:r w:rsidR="00B15A85" w:rsidRPr="00FA0099">
        <w:rPr>
          <w:sz w:val="22"/>
          <w:szCs w:val="22"/>
        </w:rPr>
        <w:t xml:space="preserve">. </w:t>
      </w:r>
      <w:r>
        <w:rPr>
          <w:sz w:val="22"/>
          <w:szCs w:val="22"/>
        </w:rPr>
        <w:t>(</w:t>
      </w:r>
      <w:r w:rsidR="00B15A85" w:rsidRPr="00FA0099">
        <w:rPr>
          <w:sz w:val="22"/>
          <w:szCs w:val="22"/>
        </w:rPr>
        <w:t>2009</w:t>
      </w:r>
      <w:r>
        <w:rPr>
          <w:sz w:val="22"/>
          <w:szCs w:val="22"/>
        </w:rPr>
        <w:t>)</w:t>
      </w:r>
      <w:r w:rsidR="00B15A85" w:rsidRPr="00FA0099">
        <w:rPr>
          <w:sz w:val="22"/>
          <w:szCs w:val="22"/>
        </w:rPr>
        <w:t xml:space="preserve">. </w:t>
      </w:r>
      <w:r w:rsidR="00B15A85" w:rsidRPr="00FA0099">
        <w:rPr>
          <w:i/>
          <w:sz w:val="22"/>
          <w:szCs w:val="22"/>
        </w:rPr>
        <w:t>No Enchanted Palace: The End of Empire and the Ideological Origins of the United Nations</w:t>
      </w:r>
      <w:r w:rsidR="00B15A85" w:rsidRPr="00FA0099">
        <w:rPr>
          <w:sz w:val="22"/>
          <w:szCs w:val="22"/>
        </w:rPr>
        <w:t>. Woodstock: Princeton University Press.</w:t>
      </w:r>
    </w:p>
    <w:p w14:paraId="0FCBEBA0" w14:textId="77777777" w:rsidR="00BC05D7" w:rsidRPr="00FA0099" w:rsidRDefault="00BC05D7" w:rsidP="00B15A85">
      <w:pPr>
        <w:pStyle w:val="EndNoteBibliography"/>
        <w:ind w:left="720" w:hanging="720"/>
        <w:rPr>
          <w:sz w:val="22"/>
          <w:szCs w:val="22"/>
        </w:rPr>
      </w:pPr>
    </w:p>
    <w:p w14:paraId="64492E10" w14:textId="51D22058" w:rsidR="00B15A85" w:rsidRPr="00FA0099" w:rsidRDefault="00B15A85" w:rsidP="00B15A85">
      <w:pPr>
        <w:pStyle w:val="EndNoteBibliography"/>
        <w:ind w:left="720" w:hanging="720"/>
        <w:rPr>
          <w:sz w:val="22"/>
          <w:szCs w:val="22"/>
        </w:rPr>
      </w:pPr>
      <w:r w:rsidRPr="00FA0099">
        <w:rPr>
          <w:sz w:val="22"/>
          <w:szCs w:val="22"/>
        </w:rPr>
        <w:t xml:space="preserve">Mbembe, A. </w:t>
      </w:r>
      <w:r w:rsidR="00BC05D7">
        <w:rPr>
          <w:sz w:val="22"/>
          <w:szCs w:val="22"/>
        </w:rPr>
        <w:t>(</w:t>
      </w:r>
      <w:r w:rsidRPr="00FA0099">
        <w:rPr>
          <w:sz w:val="22"/>
          <w:szCs w:val="22"/>
        </w:rPr>
        <w:t>2003</w:t>
      </w:r>
      <w:r w:rsidR="00BC05D7">
        <w:rPr>
          <w:sz w:val="22"/>
          <w:szCs w:val="22"/>
        </w:rPr>
        <w:t>). Necropolitics,</w:t>
      </w:r>
      <w:r w:rsidRPr="00FA0099">
        <w:rPr>
          <w:sz w:val="22"/>
          <w:szCs w:val="22"/>
        </w:rPr>
        <w:t xml:space="preserve">  </w:t>
      </w:r>
      <w:r w:rsidRPr="00FA0099">
        <w:rPr>
          <w:i/>
          <w:sz w:val="22"/>
          <w:szCs w:val="22"/>
        </w:rPr>
        <w:t>Public Culture</w:t>
      </w:r>
      <w:r w:rsidR="00BC05D7">
        <w:rPr>
          <w:sz w:val="22"/>
          <w:szCs w:val="22"/>
        </w:rPr>
        <w:t xml:space="preserve"> 15</w:t>
      </w:r>
      <w:r w:rsidRPr="00FA0099">
        <w:rPr>
          <w:sz w:val="22"/>
          <w:szCs w:val="22"/>
        </w:rPr>
        <w:t>(1):11-40.</w:t>
      </w:r>
    </w:p>
    <w:p w14:paraId="16DEC429" w14:textId="77777777" w:rsidR="00B15A85" w:rsidRPr="00FA0099" w:rsidRDefault="00B15A85" w:rsidP="0038583F">
      <w:pPr>
        <w:jc w:val="both"/>
        <w:rPr>
          <w:noProof/>
          <w:sz w:val="22"/>
          <w:szCs w:val="22"/>
        </w:rPr>
      </w:pPr>
    </w:p>
    <w:p w14:paraId="79643E81" w14:textId="77777777" w:rsidR="00B15A85" w:rsidRDefault="00B15A85" w:rsidP="00B15A85">
      <w:pPr>
        <w:pStyle w:val="EndNoteBibliography"/>
        <w:ind w:left="720" w:hanging="720"/>
        <w:rPr>
          <w:sz w:val="22"/>
          <w:szCs w:val="22"/>
        </w:rPr>
      </w:pPr>
      <w:r w:rsidRPr="00FA0099">
        <w:rPr>
          <w:sz w:val="22"/>
          <w:szCs w:val="22"/>
        </w:rPr>
        <w:t xml:space="preserve">Mignolo, W. 2009. "Who Speaks for the “Human” in Human Rights?"  </w:t>
      </w:r>
      <w:r w:rsidRPr="00FA0099">
        <w:rPr>
          <w:i/>
          <w:sz w:val="22"/>
          <w:szCs w:val="22"/>
        </w:rPr>
        <w:t>Hispanic Issues On Line</w:t>
      </w:r>
      <w:r w:rsidRPr="00FA0099">
        <w:rPr>
          <w:sz w:val="22"/>
          <w:szCs w:val="22"/>
        </w:rPr>
        <w:t xml:space="preserve"> 5 (1):7-24.</w:t>
      </w:r>
    </w:p>
    <w:p w14:paraId="052FB13B" w14:textId="77777777" w:rsidR="00BC05D7" w:rsidRPr="00FA0099" w:rsidRDefault="00BC05D7" w:rsidP="00B15A85">
      <w:pPr>
        <w:pStyle w:val="EndNoteBibliography"/>
        <w:ind w:left="720" w:hanging="720"/>
        <w:rPr>
          <w:sz w:val="22"/>
          <w:szCs w:val="22"/>
        </w:rPr>
      </w:pPr>
    </w:p>
    <w:p w14:paraId="15BEC663" w14:textId="77777777" w:rsidR="00B15A85" w:rsidRDefault="00B15A85" w:rsidP="00B15A85">
      <w:pPr>
        <w:pStyle w:val="EndNoteBibliography"/>
        <w:ind w:left="720" w:hanging="720"/>
        <w:rPr>
          <w:sz w:val="22"/>
          <w:szCs w:val="22"/>
        </w:rPr>
      </w:pPr>
      <w:r w:rsidRPr="00FA0099">
        <w:rPr>
          <w:sz w:val="22"/>
          <w:szCs w:val="22"/>
        </w:rPr>
        <w:t xml:space="preserve">Mignolo, Walter. 2011. </w:t>
      </w:r>
      <w:r w:rsidRPr="00FA0099">
        <w:rPr>
          <w:i/>
          <w:sz w:val="22"/>
          <w:szCs w:val="22"/>
        </w:rPr>
        <w:t>The darker side of Western modernity : global futures, decolonial options</w:t>
      </w:r>
      <w:r w:rsidRPr="00FA0099">
        <w:rPr>
          <w:sz w:val="22"/>
          <w:szCs w:val="22"/>
        </w:rPr>
        <w:t>. Durham: Duke University Press.</w:t>
      </w:r>
    </w:p>
    <w:p w14:paraId="11AECF12" w14:textId="77777777" w:rsidR="00BC05D7" w:rsidRPr="00FA0099" w:rsidRDefault="00BC05D7" w:rsidP="00B15A85">
      <w:pPr>
        <w:pStyle w:val="EndNoteBibliography"/>
        <w:ind w:left="720" w:hanging="720"/>
        <w:rPr>
          <w:sz w:val="22"/>
          <w:szCs w:val="22"/>
        </w:rPr>
      </w:pPr>
    </w:p>
    <w:p w14:paraId="52CD909E" w14:textId="77777777" w:rsidR="00B15A85" w:rsidRDefault="00B15A85" w:rsidP="00B15A85">
      <w:pPr>
        <w:pStyle w:val="EndNoteBibliography"/>
        <w:ind w:left="720" w:hanging="720"/>
        <w:rPr>
          <w:sz w:val="22"/>
          <w:szCs w:val="22"/>
        </w:rPr>
      </w:pPr>
      <w:r w:rsidRPr="00FA0099">
        <w:rPr>
          <w:sz w:val="22"/>
          <w:szCs w:val="22"/>
        </w:rPr>
        <w:t xml:space="preserve">Mignolo, Walter. 2000. </w:t>
      </w:r>
      <w:r w:rsidRPr="00FA0099">
        <w:rPr>
          <w:i/>
          <w:sz w:val="22"/>
          <w:szCs w:val="22"/>
        </w:rPr>
        <w:t>Local Histories/Global Designs</w:t>
      </w:r>
      <w:r w:rsidRPr="00FA0099">
        <w:rPr>
          <w:sz w:val="22"/>
          <w:szCs w:val="22"/>
        </w:rPr>
        <w:t>. Chichester: Princeton University Press.</w:t>
      </w:r>
    </w:p>
    <w:p w14:paraId="7A4AA693" w14:textId="77777777" w:rsidR="00BC05D7" w:rsidRPr="00FA0099" w:rsidRDefault="00BC05D7" w:rsidP="00B15A85">
      <w:pPr>
        <w:pStyle w:val="EndNoteBibliography"/>
        <w:ind w:left="720" w:hanging="720"/>
        <w:rPr>
          <w:sz w:val="22"/>
          <w:szCs w:val="22"/>
        </w:rPr>
      </w:pPr>
    </w:p>
    <w:p w14:paraId="3331D045" w14:textId="77777777" w:rsidR="00B15A85" w:rsidRPr="00FA0099" w:rsidRDefault="00B15A85" w:rsidP="00B15A85">
      <w:pPr>
        <w:pStyle w:val="EndNoteBibliography"/>
        <w:ind w:left="720" w:hanging="720"/>
        <w:rPr>
          <w:sz w:val="22"/>
          <w:szCs w:val="22"/>
        </w:rPr>
      </w:pPr>
      <w:r w:rsidRPr="00FA0099">
        <w:rPr>
          <w:sz w:val="22"/>
          <w:szCs w:val="22"/>
        </w:rPr>
        <w:t xml:space="preserve">Mignolo, Walter. 2007. "DELINKING: The Rhetoric of modernity, the logic of coloniality and the grammar of de-coloniality."  </w:t>
      </w:r>
      <w:r w:rsidRPr="00FA0099">
        <w:rPr>
          <w:i/>
          <w:sz w:val="22"/>
          <w:szCs w:val="22"/>
        </w:rPr>
        <w:t>Cultural Studies</w:t>
      </w:r>
      <w:r w:rsidRPr="00FA0099">
        <w:rPr>
          <w:sz w:val="22"/>
          <w:szCs w:val="22"/>
        </w:rPr>
        <w:t xml:space="preserve"> 21 (2):449-514.</w:t>
      </w:r>
    </w:p>
    <w:p w14:paraId="1439C897" w14:textId="77777777" w:rsidR="0038583F" w:rsidRPr="00FA0099" w:rsidRDefault="0038583F" w:rsidP="0038583F">
      <w:pPr>
        <w:jc w:val="both"/>
        <w:rPr>
          <w:noProof/>
          <w:sz w:val="22"/>
          <w:szCs w:val="22"/>
          <w:highlight w:val="yellow"/>
        </w:rPr>
      </w:pPr>
    </w:p>
    <w:p w14:paraId="7A8317CB" w14:textId="729898F3" w:rsidR="0038583F" w:rsidRPr="00FA0099" w:rsidRDefault="0038583F" w:rsidP="0038583F">
      <w:pPr>
        <w:jc w:val="both"/>
        <w:rPr>
          <w:noProof/>
          <w:sz w:val="22"/>
          <w:szCs w:val="22"/>
        </w:rPr>
      </w:pPr>
      <w:r w:rsidRPr="00F35ED9">
        <w:rPr>
          <w:noProof/>
          <w:sz w:val="22"/>
          <w:szCs w:val="22"/>
        </w:rPr>
        <w:t>Mohanty,</w:t>
      </w:r>
      <w:r w:rsidR="00F35ED9">
        <w:rPr>
          <w:noProof/>
          <w:sz w:val="22"/>
          <w:szCs w:val="22"/>
        </w:rPr>
        <w:t xml:space="preserve"> C. (2003) Feminism without B</w:t>
      </w:r>
      <w:r w:rsidRPr="00F35ED9">
        <w:rPr>
          <w:noProof/>
          <w:sz w:val="22"/>
          <w:szCs w:val="22"/>
        </w:rPr>
        <w:t>orders</w:t>
      </w:r>
      <w:r w:rsidR="00F35ED9">
        <w:rPr>
          <w:noProof/>
          <w:sz w:val="22"/>
          <w:szCs w:val="22"/>
        </w:rPr>
        <w:t xml:space="preserve">: </w:t>
      </w:r>
      <w:r w:rsidR="00F35ED9" w:rsidRPr="00F35ED9">
        <w:rPr>
          <w:noProof/>
          <w:sz w:val="22"/>
          <w:szCs w:val="22"/>
        </w:rPr>
        <w:t>Decolonizing Theory, Practicing Solidarity</w:t>
      </w:r>
      <w:r w:rsidR="00F35ED9">
        <w:rPr>
          <w:noProof/>
          <w:sz w:val="22"/>
          <w:szCs w:val="22"/>
        </w:rPr>
        <w:t>, Durham: Duke University Press.</w:t>
      </w:r>
    </w:p>
    <w:p w14:paraId="1234BCE9" w14:textId="77777777" w:rsidR="0038583F" w:rsidRPr="0038583F" w:rsidRDefault="0038583F" w:rsidP="0038583F">
      <w:pPr>
        <w:jc w:val="both"/>
        <w:rPr>
          <w:noProof/>
          <w:sz w:val="22"/>
          <w:szCs w:val="22"/>
        </w:rPr>
      </w:pPr>
    </w:p>
    <w:p w14:paraId="0C3FFB5B" w14:textId="77777777" w:rsidR="0038583F" w:rsidRDefault="0038583F" w:rsidP="0038583F">
      <w:pPr>
        <w:jc w:val="both"/>
        <w:rPr>
          <w:noProof/>
          <w:sz w:val="22"/>
          <w:szCs w:val="22"/>
        </w:rPr>
      </w:pPr>
      <w:r w:rsidRPr="0038583F">
        <w:rPr>
          <w:noProof/>
          <w:sz w:val="22"/>
          <w:szCs w:val="22"/>
        </w:rPr>
        <w:t>Peters, M. (2015) Why is my curriculum white? Educational Philosophy and Theory, 47(7): 641-46</w:t>
      </w:r>
    </w:p>
    <w:p w14:paraId="01FE866A" w14:textId="77777777" w:rsidR="0038583F" w:rsidRDefault="0038583F" w:rsidP="0038583F">
      <w:pPr>
        <w:jc w:val="both"/>
        <w:rPr>
          <w:noProof/>
          <w:sz w:val="22"/>
          <w:szCs w:val="22"/>
        </w:rPr>
      </w:pPr>
    </w:p>
    <w:p w14:paraId="0567714D" w14:textId="2B3799A7" w:rsidR="00E252D8" w:rsidRPr="00BC05D7" w:rsidRDefault="00E252D8" w:rsidP="00E252D8">
      <w:pPr>
        <w:pStyle w:val="EndNoteBibliography"/>
        <w:ind w:left="720" w:hanging="720"/>
        <w:rPr>
          <w:sz w:val="22"/>
          <w:szCs w:val="22"/>
        </w:rPr>
      </w:pPr>
      <w:r w:rsidRPr="00BC05D7">
        <w:rPr>
          <w:sz w:val="22"/>
          <w:szCs w:val="22"/>
        </w:rPr>
        <w:t>Quijano, A</w:t>
      </w:r>
      <w:r w:rsidR="00BC05D7">
        <w:rPr>
          <w:sz w:val="22"/>
          <w:szCs w:val="22"/>
        </w:rPr>
        <w:t xml:space="preserve">. 2000. </w:t>
      </w:r>
      <w:r w:rsidRPr="00BC05D7">
        <w:rPr>
          <w:sz w:val="22"/>
          <w:szCs w:val="22"/>
        </w:rPr>
        <w:t xml:space="preserve">Coloniality of Power, </w:t>
      </w:r>
      <w:r w:rsidR="00BC05D7">
        <w:rPr>
          <w:sz w:val="22"/>
          <w:szCs w:val="22"/>
        </w:rPr>
        <w:t>Eurocentrism and Latin America,</w:t>
      </w:r>
      <w:r w:rsidRPr="00BC05D7">
        <w:rPr>
          <w:sz w:val="22"/>
          <w:szCs w:val="22"/>
        </w:rPr>
        <w:t xml:space="preserve">  </w:t>
      </w:r>
      <w:r w:rsidRPr="00BC05D7">
        <w:rPr>
          <w:i/>
          <w:sz w:val="22"/>
          <w:szCs w:val="22"/>
        </w:rPr>
        <w:t>Nepantla: Views from South</w:t>
      </w:r>
      <w:r w:rsidR="00BC05D7">
        <w:rPr>
          <w:i/>
          <w:sz w:val="22"/>
          <w:szCs w:val="22"/>
        </w:rPr>
        <w:t>,</w:t>
      </w:r>
      <w:r w:rsidR="00BC05D7">
        <w:rPr>
          <w:sz w:val="22"/>
          <w:szCs w:val="22"/>
        </w:rPr>
        <w:t xml:space="preserve"> 1</w:t>
      </w:r>
      <w:r w:rsidRPr="00BC05D7">
        <w:rPr>
          <w:sz w:val="22"/>
          <w:szCs w:val="22"/>
        </w:rPr>
        <w:t>(3):533-580.</w:t>
      </w:r>
    </w:p>
    <w:p w14:paraId="0D73B403" w14:textId="77777777" w:rsidR="00BC05D7" w:rsidRPr="00BC05D7" w:rsidRDefault="00BC05D7" w:rsidP="0038583F">
      <w:pPr>
        <w:jc w:val="both"/>
        <w:rPr>
          <w:noProof/>
          <w:sz w:val="22"/>
          <w:szCs w:val="22"/>
        </w:rPr>
      </w:pPr>
    </w:p>
    <w:p w14:paraId="57A3FDF8" w14:textId="77777777" w:rsidR="00E252D8" w:rsidRPr="00BC05D7" w:rsidRDefault="00E252D8" w:rsidP="00E252D8">
      <w:pPr>
        <w:jc w:val="both"/>
        <w:rPr>
          <w:noProof/>
          <w:sz w:val="22"/>
          <w:szCs w:val="22"/>
        </w:rPr>
      </w:pPr>
      <w:r w:rsidRPr="00BC05D7">
        <w:rPr>
          <w:noProof/>
          <w:sz w:val="22"/>
          <w:szCs w:val="22"/>
        </w:rPr>
        <w:t xml:space="preserve">Said, Edward.W. 1995 [1978]. </w:t>
      </w:r>
      <w:r w:rsidRPr="00BC05D7">
        <w:rPr>
          <w:i/>
          <w:noProof/>
          <w:sz w:val="22"/>
          <w:szCs w:val="22"/>
        </w:rPr>
        <w:t>Orientalism: Western Conceptions of the Orient</w:t>
      </w:r>
      <w:r w:rsidRPr="00BC05D7">
        <w:rPr>
          <w:noProof/>
          <w:sz w:val="22"/>
          <w:szCs w:val="22"/>
        </w:rPr>
        <w:t>. London: Penguin</w:t>
      </w:r>
    </w:p>
    <w:p w14:paraId="617AEBF8" w14:textId="77777777" w:rsidR="0038583F" w:rsidRPr="00BC05D7" w:rsidRDefault="0038583F" w:rsidP="00D3169E">
      <w:pPr>
        <w:jc w:val="both"/>
        <w:rPr>
          <w:bCs/>
          <w:i/>
          <w:sz w:val="22"/>
          <w:szCs w:val="22"/>
        </w:rPr>
      </w:pPr>
    </w:p>
    <w:p w14:paraId="327F7CAD" w14:textId="2AB9C94E" w:rsidR="00E252D8" w:rsidRPr="00BC05D7" w:rsidRDefault="00E252D8" w:rsidP="00E252D8">
      <w:pPr>
        <w:pStyle w:val="EndNoteBibliography"/>
        <w:ind w:left="720" w:hanging="720"/>
        <w:rPr>
          <w:sz w:val="22"/>
          <w:szCs w:val="22"/>
        </w:rPr>
      </w:pPr>
      <w:r w:rsidRPr="00BC05D7">
        <w:rPr>
          <w:sz w:val="22"/>
          <w:szCs w:val="22"/>
        </w:rPr>
        <w:t xml:space="preserve">Simpson, A.W.B. </w:t>
      </w:r>
      <w:r w:rsidR="00BC05D7">
        <w:rPr>
          <w:sz w:val="22"/>
          <w:szCs w:val="22"/>
        </w:rPr>
        <w:t>(</w:t>
      </w:r>
      <w:r w:rsidRPr="00BC05D7">
        <w:rPr>
          <w:sz w:val="22"/>
          <w:szCs w:val="22"/>
        </w:rPr>
        <w:t>2004</w:t>
      </w:r>
      <w:r w:rsidR="00BC05D7">
        <w:rPr>
          <w:sz w:val="22"/>
          <w:szCs w:val="22"/>
        </w:rPr>
        <w:t>)</w:t>
      </w:r>
      <w:r w:rsidRPr="00BC05D7">
        <w:rPr>
          <w:sz w:val="22"/>
          <w:szCs w:val="22"/>
        </w:rPr>
        <w:t xml:space="preserve">. </w:t>
      </w:r>
      <w:r w:rsidRPr="00BC05D7">
        <w:rPr>
          <w:i/>
          <w:sz w:val="22"/>
          <w:szCs w:val="22"/>
        </w:rPr>
        <w:t>Human Rights and the End of Empire: Britain and the Genesis of the European Convention</w:t>
      </w:r>
      <w:r w:rsidRPr="00BC05D7">
        <w:rPr>
          <w:sz w:val="22"/>
          <w:szCs w:val="22"/>
        </w:rPr>
        <w:t>. Oxford: Oxford University Press.</w:t>
      </w:r>
    </w:p>
    <w:p w14:paraId="67F13A46" w14:textId="77777777" w:rsidR="00E14BDB" w:rsidRDefault="00E14BDB" w:rsidP="00E252D8">
      <w:pPr>
        <w:pStyle w:val="EndNoteBibliography"/>
        <w:ind w:left="720" w:hanging="720"/>
        <w:rPr>
          <w:sz w:val="22"/>
          <w:szCs w:val="22"/>
        </w:rPr>
      </w:pPr>
    </w:p>
    <w:p w14:paraId="5FDED1B6" w14:textId="42957057" w:rsidR="00E252D8" w:rsidRDefault="00E252D8" w:rsidP="00E252D8">
      <w:pPr>
        <w:pStyle w:val="EndNoteBibliography"/>
        <w:ind w:left="720" w:hanging="720"/>
        <w:rPr>
          <w:sz w:val="22"/>
          <w:szCs w:val="22"/>
        </w:rPr>
      </w:pPr>
      <w:r w:rsidRPr="00BC05D7">
        <w:rPr>
          <w:sz w:val="22"/>
          <w:szCs w:val="22"/>
        </w:rPr>
        <w:t xml:space="preserve">Spivak, Gayatri Chakravorty. </w:t>
      </w:r>
      <w:r w:rsidR="00BC05D7">
        <w:rPr>
          <w:sz w:val="22"/>
          <w:szCs w:val="22"/>
        </w:rPr>
        <w:t>(</w:t>
      </w:r>
      <w:r w:rsidRPr="00BC05D7">
        <w:rPr>
          <w:sz w:val="22"/>
          <w:szCs w:val="22"/>
        </w:rPr>
        <w:t>1999</w:t>
      </w:r>
      <w:r w:rsidR="00BC05D7">
        <w:rPr>
          <w:sz w:val="22"/>
          <w:szCs w:val="22"/>
        </w:rPr>
        <w:t>)</w:t>
      </w:r>
      <w:r w:rsidRPr="00BC05D7">
        <w:rPr>
          <w:sz w:val="22"/>
          <w:szCs w:val="22"/>
        </w:rPr>
        <w:t xml:space="preserve">. </w:t>
      </w:r>
      <w:r w:rsidRPr="00BC05D7">
        <w:rPr>
          <w:i/>
          <w:sz w:val="22"/>
          <w:szCs w:val="22"/>
        </w:rPr>
        <w:t>A critique of postcolonial reason : toward a history of the vanishing present</w:t>
      </w:r>
      <w:r w:rsidRPr="00BC05D7">
        <w:rPr>
          <w:sz w:val="22"/>
          <w:szCs w:val="22"/>
        </w:rPr>
        <w:t>. Cambridge, Mass. ; London: Harvard University Press.</w:t>
      </w:r>
    </w:p>
    <w:p w14:paraId="7A039577" w14:textId="77777777" w:rsidR="00BC05D7" w:rsidRPr="00BC05D7" w:rsidRDefault="00BC05D7" w:rsidP="00E252D8">
      <w:pPr>
        <w:pStyle w:val="EndNoteBibliography"/>
        <w:ind w:left="720" w:hanging="720"/>
        <w:rPr>
          <w:sz w:val="22"/>
          <w:szCs w:val="22"/>
        </w:rPr>
      </w:pPr>
    </w:p>
    <w:p w14:paraId="02201D4B" w14:textId="26128D7F" w:rsidR="00E252D8" w:rsidRPr="00BC05D7" w:rsidRDefault="00E252D8" w:rsidP="00E252D8">
      <w:pPr>
        <w:pStyle w:val="EndNoteBibliography"/>
        <w:ind w:left="720" w:hanging="720"/>
        <w:rPr>
          <w:sz w:val="22"/>
          <w:szCs w:val="22"/>
        </w:rPr>
      </w:pPr>
      <w:r w:rsidRPr="00BC05D7">
        <w:rPr>
          <w:sz w:val="22"/>
          <w:szCs w:val="22"/>
        </w:rPr>
        <w:t xml:space="preserve">Trouillot, M-R. </w:t>
      </w:r>
      <w:r w:rsidR="00BC05D7">
        <w:rPr>
          <w:sz w:val="22"/>
          <w:szCs w:val="22"/>
        </w:rPr>
        <w:t>(</w:t>
      </w:r>
      <w:r w:rsidRPr="00BC05D7">
        <w:rPr>
          <w:sz w:val="22"/>
          <w:szCs w:val="22"/>
        </w:rPr>
        <w:t>1995</w:t>
      </w:r>
      <w:r w:rsidR="00BC05D7">
        <w:rPr>
          <w:sz w:val="22"/>
          <w:szCs w:val="22"/>
        </w:rPr>
        <w:t>)</w:t>
      </w:r>
      <w:r w:rsidRPr="00BC05D7">
        <w:rPr>
          <w:sz w:val="22"/>
          <w:szCs w:val="22"/>
        </w:rPr>
        <w:t xml:space="preserve">. </w:t>
      </w:r>
      <w:r w:rsidRPr="00BC05D7">
        <w:rPr>
          <w:i/>
          <w:sz w:val="22"/>
          <w:szCs w:val="22"/>
        </w:rPr>
        <w:t>Silencing the past: power and the production of history</w:t>
      </w:r>
      <w:r w:rsidRPr="00BC05D7">
        <w:rPr>
          <w:sz w:val="22"/>
          <w:szCs w:val="22"/>
        </w:rPr>
        <w:t>. Boston: Beacon Press.</w:t>
      </w:r>
    </w:p>
    <w:p w14:paraId="1718EE6D" w14:textId="77777777" w:rsidR="00E252D8" w:rsidRPr="00BC05D7" w:rsidRDefault="00E252D8" w:rsidP="00D3169E">
      <w:pPr>
        <w:jc w:val="both"/>
        <w:rPr>
          <w:bCs/>
          <w:i/>
          <w:sz w:val="22"/>
          <w:szCs w:val="22"/>
        </w:rPr>
      </w:pPr>
    </w:p>
    <w:p w14:paraId="63D84797" w14:textId="28E0CEDF" w:rsidR="00E252D8" w:rsidRPr="00BC05D7" w:rsidRDefault="00E252D8" w:rsidP="00E252D8">
      <w:pPr>
        <w:pStyle w:val="EndNoteBibliography"/>
        <w:ind w:left="720" w:hanging="720"/>
        <w:rPr>
          <w:sz w:val="22"/>
          <w:szCs w:val="22"/>
        </w:rPr>
      </w:pPr>
      <w:r w:rsidRPr="00BC05D7">
        <w:rPr>
          <w:sz w:val="22"/>
          <w:szCs w:val="22"/>
        </w:rPr>
        <w:t xml:space="preserve">Wynter, S. </w:t>
      </w:r>
      <w:r w:rsidR="00BC05D7">
        <w:rPr>
          <w:sz w:val="22"/>
          <w:szCs w:val="22"/>
        </w:rPr>
        <w:t>(</w:t>
      </w:r>
      <w:r w:rsidRPr="00BC05D7">
        <w:rPr>
          <w:sz w:val="22"/>
          <w:szCs w:val="22"/>
        </w:rPr>
        <w:t>2003</w:t>
      </w:r>
      <w:r w:rsidR="00BC05D7">
        <w:rPr>
          <w:sz w:val="22"/>
          <w:szCs w:val="22"/>
        </w:rPr>
        <w:t xml:space="preserve">). </w:t>
      </w:r>
      <w:r w:rsidRPr="00BC05D7">
        <w:rPr>
          <w:sz w:val="22"/>
          <w:szCs w:val="22"/>
        </w:rPr>
        <w:t>Unsettling the Coloniality of Being/Power/Truth/Freedom: Towards the Human, after Man, its O</w:t>
      </w:r>
      <w:r w:rsidR="00BC05D7">
        <w:rPr>
          <w:sz w:val="22"/>
          <w:szCs w:val="22"/>
        </w:rPr>
        <w:t>verrepresentation -an Argument,</w:t>
      </w:r>
      <w:r w:rsidRPr="00BC05D7">
        <w:rPr>
          <w:sz w:val="22"/>
          <w:szCs w:val="22"/>
        </w:rPr>
        <w:t xml:space="preserve">  </w:t>
      </w:r>
      <w:r w:rsidRPr="00BC05D7">
        <w:rPr>
          <w:i/>
          <w:sz w:val="22"/>
          <w:szCs w:val="22"/>
        </w:rPr>
        <w:t>The New Centennial Review</w:t>
      </w:r>
      <w:r w:rsidRPr="00BC05D7">
        <w:rPr>
          <w:sz w:val="22"/>
          <w:szCs w:val="22"/>
        </w:rPr>
        <w:t xml:space="preserve"> 3 (3):257-337.</w:t>
      </w:r>
    </w:p>
    <w:p w14:paraId="0650C668" w14:textId="77777777" w:rsidR="00E252D8" w:rsidRDefault="00E252D8" w:rsidP="00D3169E">
      <w:pPr>
        <w:jc w:val="both"/>
        <w:rPr>
          <w:bCs/>
          <w:i/>
          <w:sz w:val="22"/>
          <w:szCs w:val="22"/>
        </w:rPr>
      </w:pPr>
    </w:p>
    <w:p w14:paraId="4874C235" w14:textId="77777777" w:rsidR="0038583F" w:rsidRDefault="0038583F" w:rsidP="00D3169E">
      <w:pPr>
        <w:jc w:val="both"/>
        <w:rPr>
          <w:bCs/>
          <w:i/>
          <w:sz w:val="22"/>
          <w:szCs w:val="22"/>
        </w:rPr>
      </w:pPr>
    </w:p>
    <w:sectPr w:rsidR="0038583F" w:rsidSect="00F912BB">
      <w:headerReference w:type="default" r:id="rId13"/>
      <w:footerReference w:type="even" r:id="rId14"/>
      <w:footerReference w:type="default" r:id="rId15"/>
      <w:pgSz w:w="11906" w:h="16838"/>
      <w:pgMar w:top="993" w:right="1133" w:bottom="993" w:left="1134"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10C4" w14:textId="77777777" w:rsidR="00F0601B" w:rsidRDefault="00F0601B" w:rsidP="00A758EA">
      <w:r>
        <w:separator/>
      </w:r>
    </w:p>
  </w:endnote>
  <w:endnote w:type="continuationSeparator" w:id="0">
    <w:p w14:paraId="576112C4" w14:textId="77777777" w:rsidR="00F0601B" w:rsidRDefault="00F0601B" w:rsidP="00A7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67DE" w14:textId="77777777" w:rsidR="003311B4" w:rsidRDefault="003311B4" w:rsidP="00143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BA762" w14:textId="77777777" w:rsidR="003311B4" w:rsidRDefault="00331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9336" w14:textId="06B04C03" w:rsidR="003311B4" w:rsidRPr="00E26C0E" w:rsidRDefault="003311B4" w:rsidP="00143AE5">
    <w:pPr>
      <w:pStyle w:val="Footer"/>
      <w:framePr w:wrap="around" w:vAnchor="text" w:hAnchor="margin" w:xAlign="center" w:y="1"/>
      <w:rPr>
        <w:rStyle w:val="PageNumber"/>
        <w:rFonts w:ascii="Calibri" w:hAnsi="Calibri"/>
        <w:sz w:val="22"/>
        <w:szCs w:val="22"/>
      </w:rPr>
    </w:pPr>
    <w:r w:rsidRPr="00E26C0E">
      <w:rPr>
        <w:rStyle w:val="PageNumber"/>
        <w:rFonts w:ascii="Calibri" w:hAnsi="Calibri"/>
        <w:sz w:val="22"/>
        <w:szCs w:val="22"/>
      </w:rPr>
      <w:fldChar w:fldCharType="begin"/>
    </w:r>
    <w:r w:rsidRPr="00E26C0E">
      <w:rPr>
        <w:rStyle w:val="PageNumber"/>
        <w:rFonts w:ascii="Calibri" w:hAnsi="Calibri"/>
        <w:sz w:val="22"/>
        <w:szCs w:val="22"/>
      </w:rPr>
      <w:instrText xml:space="preserve">PAGE  </w:instrText>
    </w:r>
    <w:r w:rsidRPr="00E26C0E">
      <w:rPr>
        <w:rStyle w:val="PageNumber"/>
        <w:rFonts w:ascii="Calibri" w:hAnsi="Calibri"/>
        <w:sz w:val="22"/>
        <w:szCs w:val="22"/>
      </w:rPr>
      <w:fldChar w:fldCharType="separate"/>
    </w:r>
    <w:r w:rsidR="007F45D5">
      <w:rPr>
        <w:rStyle w:val="PageNumber"/>
        <w:rFonts w:ascii="Calibri" w:hAnsi="Calibri"/>
        <w:noProof/>
        <w:sz w:val="22"/>
        <w:szCs w:val="22"/>
      </w:rPr>
      <w:t>4</w:t>
    </w:r>
    <w:r w:rsidRPr="00E26C0E">
      <w:rPr>
        <w:rStyle w:val="PageNumber"/>
        <w:rFonts w:ascii="Calibri" w:hAnsi="Calibri"/>
        <w:sz w:val="22"/>
        <w:szCs w:val="22"/>
      </w:rPr>
      <w:fldChar w:fldCharType="end"/>
    </w:r>
  </w:p>
  <w:p w14:paraId="4EE85056" w14:textId="77777777" w:rsidR="003311B4" w:rsidRDefault="00331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5278" w14:textId="77777777" w:rsidR="00F0601B" w:rsidRDefault="00F0601B" w:rsidP="00A758EA">
      <w:r>
        <w:separator/>
      </w:r>
    </w:p>
  </w:footnote>
  <w:footnote w:type="continuationSeparator" w:id="0">
    <w:p w14:paraId="30BB36FF" w14:textId="77777777" w:rsidR="00F0601B" w:rsidRDefault="00F0601B" w:rsidP="00A758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8614" w14:textId="1383BC84" w:rsidR="003311B4" w:rsidRDefault="003311B4" w:rsidP="00F912BB">
    <w:pPr>
      <w:pStyle w:val="Header"/>
      <w:jc w:val="right"/>
      <w:rPr>
        <w:sz w:val="20"/>
        <w:szCs w:val="20"/>
      </w:rPr>
    </w:pPr>
  </w:p>
  <w:p w14:paraId="3FE3CD46" w14:textId="77777777" w:rsidR="007F45D5" w:rsidRPr="007D4399" w:rsidRDefault="007F45D5" w:rsidP="00F912BB">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7A4"/>
    <w:multiLevelType w:val="hybridMultilevel"/>
    <w:tmpl w:val="EBEE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33F72"/>
    <w:multiLevelType w:val="hybridMultilevel"/>
    <w:tmpl w:val="A8A4237A"/>
    <w:lvl w:ilvl="0" w:tplc="BCB2838A">
      <w:start w:val="13"/>
      <w:numFmt w:val="bullet"/>
      <w:lvlText w:val=""/>
      <w:lvlJc w:val="left"/>
      <w:pPr>
        <w:ind w:left="720" w:hanging="360"/>
      </w:pPr>
      <w:rPr>
        <w:rFonts w:ascii="Symbol" w:eastAsiaTheme="minorHAnsi" w:hAnsi="Symbol" w:cs="Helvetic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08A2"/>
    <w:multiLevelType w:val="hybridMultilevel"/>
    <w:tmpl w:val="9E1E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4E38"/>
    <w:multiLevelType w:val="hybridMultilevel"/>
    <w:tmpl w:val="7AC4468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6D63BE0"/>
    <w:multiLevelType w:val="hybridMultilevel"/>
    <w:tmpl w:val="8BA6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72BCC"/>
    <w:multiLevelType w:val="hybridMultilevel"/>
    <w:tmpl w:val="C13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A303F"/>
    <w:multiLevelType w:val="hybridMultilevel"/>
    <w:tmpl w:val="4B8C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E4052"/>
    <w:multiLevelType w:val="hybridMultilevel"/>
    <w:tmpl w:val="743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5149A"/>
    <w:multiLevelType w:val="hybridMultilevel"/>
    <w:tmpl w:val="F1CE24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D095D"/>
    <w:multiLevelType w:val="hybridMultilevel"/>
    <w:tmpl w:val="E0222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45449E"/>
    <w:multiLevelType w:val="hybridMultilevel"/>
    <w:tmpl w:val="4A9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25E3F"/>
    <w:multiLevelType w:val="hybridMultilevel"/>
    <w:tmpl w:val="DBB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A431B"/>
    <w:multiLevelType w:val="hybridMultilevel"/>
    <w:tmpl w:val="4728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35AB4"/>
    <w:multiLevelType w:val="hybridMultilevel"/>
    <w:tmpl w:val="D44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E61308"/>
    <w:multiLevelType w:val="hybridMultilevel"/>
    <w:tmpl w:val="8EBAEFD6"/>
    <w:lvl w:ilvl="0" w:tplc="23B2D3A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F4930A9"/>
    <w:multiLevelType w:val="hybridMultilevel"/>
    <w:tmpl w:val="1B5A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724E87"/>
    <w:multiLevelType w:val="hybridMultilevel"/>
    <w:tmpl w:val="C1AA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11C34"/>
    <w:multiLevelType w:val="multilevel"/>
    <w:tmpl w:val="542E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B4B0E"/>
    <w:multiLevelType w:val="hybridMultilevel"/>
    <w:tmpl w:val="2E4A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32CAE"/>
    <w:multiLevelType w:val="hybridMultilevel"/>
    <w:tmpl w:val="A8E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41E3A"/>
    <w:multiLevelType w:val="hybridMultilevel"/>
    <w:tmpl w:val="933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D556B"/>
    <w:multiLevelType w:val="hybridMultilevel"/>
    <w:tmpl w:val="D0561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9A0FB8"/>
    <w:multiLevelType w:val="hybridMultilevel"/>
    <w:tmpl w:val="4F48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6"/>
  </w:num>
  <w:num w:numId="5">
    <w:abstractNumId w:val="18"/>
  </w:num>
  <w:num w:numId="6">
    <w:abstractNumId w:val="11"/>
  </w:num>
  <w:num w:numId="7">
    <w:abstractNumId w:val="22"/>
  </w:num>
  <w:num w:numId="8">
    <w:abstractNumId w:val="20"/>
  </w:num>
  <w:num w:numId="9">
    <w:abstractNumId w:val="19"/>
  </w:num>
  <w:num w:numId="10">
    <w:abstractNumId w:val="7"/>
  </w:num>
  <w:num w:numId="11">
    <w:abstractNumId w:val="4"/>
  </w:num>
  <w:num w:numId="12">
    <w:abstractNumId w:val="5"/>
  </w:num>
  <w:num w:numId="13">
    <w:abstractNumId w:val="10"/>
  </w:num>
  <w:num w:numId="14">
    <w:abstractNumId w:val="1"/>
  </w:num>
  <w:num w:numId="15">
    <w:abstractNumId w:val="17"/>
  </w:num>
  <w:num w:numId="16">
    <w:abstractNumId w:val="6"/>
  </w:num>
  <w:num w:numId="17">
    <w:abstractNumId w:val="15"/>
  </w:num>
  <w:num w:numId="18">
    <w:abstractNumId w:val="9"/>
  </w:num>
  <w:num w:numId="19">
    <w:abstractNumId w:val="3"/>
  </w:num>
  <w:num w:numId="20">
    <w:abstractNumId w:val="14"/>
  </w:num>
  <w:num w:numId="21">
    <w:abstractNumId w:val="2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OSCOLA_4th_ed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x05fefrpevvme9evnv09f125fdzvvadvr0&quot;&gt;Cate Endnote&lt;record-ids&gt;&lt;item&gt;1886&lt;/item&gt;&lt;/record-ids&gt;&lt;/item&gt;&lt;/Libraries&gt;"/>
  </w:docVars>
  <w:rsids>
    <w:rsidRoot w:val="00822861"/>
    <w:rsid w:val="0000524A"/>
    <w:rsid w:val="000074D0"/>
    <w:rsid w:val="00007A79"/>
    <w:rsid w:val="00007E8C"/>
    <w:rsid w:val="00010FBE"/>
    <w:rsid w:val="0001195E"/>
    <w:rsid w:val="0002472B"/>
    <w:rsid w:val="00025472"/>
    <w:rsid w:val="0003528D"/>
    <w:rsid w:val="0005087C"/>
    <w:rsid w:val="000510D1"/>
    <w:rsid w:val="000521C4"/>
    <w:rsid w:val="00054FF0"/>
    <w:rsid w:val="00061A2B"/>
    <w:rsid w:val="00080276"/>
    <w:rsid w:val="000809C7"/>
    <w:rsid w:val="00081F3F"/>
    <w:rsid w:val="00082B8C"/>
    <w:rsid w:val="00082FB6"/>
    <w:rsid w:val="00086CA9"/>
    <w:rsid w:val="00094474"/>
    <w:rsid w:val="000B6061"/>
    <w:rsid w:val="000B72DA"/>
    <w:rsid w:val="000B7887"/>
    <w:rsid w:val="000C0042"/>
    <w:rsid w:val="000C4C08"/>
    <w:rsid w:val="000C75D1"/>
    <w:rsid w:val="000D1961"/>
    <w:rsid w:val="000D3D72"/>
    <w:rsid w:val="000D5139"/>
    <w:rsid w:val="000D7475"/>
    <w:rsid w:val="000E725A"/>
    <w:rsid w:val="000F189F"/>
    <w:rsid w:val="000F1B99"/>
    <w:rsid w:val="000F7680"/>
    <w:rsid w:val="0010060E"/>
    <w:rsid w:val="001028F3"/>
    <w:rsid w:val="001050FF"/>
    <w:rsid w:val="00110014"/>
    <w:rsid w:val="001109E5"/>
    <w:rsid w:val="00111521"/>
    <w:rsid w:val="00113343"/>
    <w:rsid w:val="00114491"/>
    <w:rsid w:val="00114CAB"/>
    <w:rsid w:val="00117B84"/>
    <w:rsid w:val="00117F66"/>
    <w:rsid w:val="00125E19"/>
    <w:rsid w:val="001267B7"/>
    <w:rsid w:val="00134F5E"/>
    <w:rsid w:val="00136DFA"/>
    <w:rsid w:val="00143AE5"/>
    <w:rsid w:val="00146903"/>
    <w:rsid w:val="00157261"/>
    <w:rsid w:val="001608E7"/>
    <w:rsid w:val="001668FD"/>
    <w:rsid w:val="00175632"/>
    <w:rsid w:val="00181539"/>
    <w:rsid w:val="0018420C"/>
    <w:rsid w:val="00184ED2"/>
    <w:rsid w:val="00185358"/>
    <w:rsid w:val="00187457"/>
    <w:rsid w:val="00187F91"/>
    <w:rsid w:val="00190FA1"/>
    <w:rsid w:val="00193477"/>
    <w:rsid w:val="001974B1"/>
    <w:rsid w:val="001A2FD3"/>
    <w:rsid w:val="001A5750"/>
    <w:rsid w:val="001A77C1"/>
    <w:rsid w:val="001B324C"/>
    <w:rsid w:val="001C5FA2"/>
    <w:rsid w:val="001C61AE"/>
    <w:rsid w:val="001C62C3"/>
    <w:rsid w:val="001C6943"/>
    <w:rsid w:val="001D23BA"/>
    <w:rsid w:val="001D25F6"/>
    <w:rsid w:val="001D3016"/>
    <w:rsid w:val="001D50F3"/>
    <w:rsid w:val="001D77B7"/>
    <w:rsid w:val="001D7D4C"/>
    <w:rsid w:val="001E142F"/>
    <w:rsid w:val="001E6176"/>
    <w:rsid w:val="001F1115"/>
    <w:rsid w:val="001F12CF"/>
    <w:rsid w:val="001F5B4F"/>
    <w:rsid w:val="001F7DA5"/>
    <w:rsid w:val="00204B13"/>
    <w:rsid w:val="00213258"/>
    <w:rsid w:val="002149B1"/>
    <w:rsid w:val="00216060"/>
    <w:rsid w:val="00222313"/>
    <w:rsid w:val="00226AA7"/>
    <w:rsid w:val="00243529"/>
    <w:rsid w:val="00244796"/>
    <w:rsid w:val="00254B39"/>
    <w:rsid w:val="0025754C"/>
    <w:rsid w:val="002606AE"/>
    <w:rsid w:val="00262C45"/>
    <w:rsid w:val="00263E7A"/>
    <w:rsid w:val="00264E37"/>
    <w:rsid w:val="002651E1"/>
    <w:rsid w:val="00276432"/>
    <w:rsid w:val="0028440B"/>
    <w:rsid w:val="0029540B"/>
    <w:rsid w:val="00296519"/>
    <w:rsid w:val="002A1383"/>
    <w:rsid w:val="002A58D8"/>
    <w:rsid w:val="002A5E09"/>
    <w:rsid w:val="002A6A3A"/>
    <w:rsid w:val="002A7C72"/>
    <w:rsid w:val="002A7FF3"/>
    <w:rsid w:val="002B1BF4"/>
    <w:rsid w:val="002B2DDF"/>
    <w:rsid w:val="002C0ED6"/>
    <w:rsid w:val="002D7273"/>
    <w:rsid w:val="002D758C"/>
    <w:rsid w:val="002F10B3"/>
    <w:rsid w:val="002F2DF7"/>
    <w:rsid w:val="002F49ED"/>
    <w:rsid w:val="00300E74"/>
    <w:rsid w:val="003024E3"/>
    <w:rsid w:val="0030759A"/>
    <w:rsid w:val="00310E97"/>
    <w:rsid w:val="00313EB3"/>
    <w:rsid w:val="0032308B"/>
    <w:rsid w:val="003301C2"/>
    <w:rsid w:val="003302F8"/>
    <w:rsid w:val="003311B4"/>
    <w:rsid w:val="00332210"/>
    <w:rsid w:val="003325B7"/>
    <w:rsid w:val="00332AB1"/>
    <w:rsid w:val="00335A35"/>
    <w:rsid w:val="00336488"/>
    <w:rsid w:val="00342B5D"/>
    <w:rsid w:val="00361C7F"/>
    <w:rsid w:val="00361CF9"/>
    <w:rsid w:val="00362C12"/>
    <w:rsid w:val="0036394E"/>
    <w:rsid w:val="003757D8"/>
    <w:rsid w:val="003801A1"/>
    <w:rsid w:val="0038583F"/>
    <w:rsid w:val="0039093B"/>
    <w:rsid w:val="00393724"/>
    <w:rsid w:val="00394FC7"/>
    <w:rsid w:val="003968AF"/>
    <w:rsid w:val="003A6E2C"/>
    <w:rsid w:val="003C6D96"/>
    <w:rsid w:val="003D26FF"/>
    <w:rsid w:val="003D5176"/>
    <w:rsid w:val="003F2CBD"/>
    <w:rsid w:val="00401F91"/>
    <w:rsid w:val="004035DB"/>
    <w:rsid w:val="00404E58"/>
    <w:rsid w:val="00405C19"/>
    <w:rsid w:val="004122F2"/>
    <w:rsid w:val="00412342"/>
    <w:rsid w:val="0041424D"/>
    <w:rsid w:val="00415116"/>
    <w:rsid w:val="004152C8"/>
    <w:rsid w:val="0041534B"/>
    <w:rsid w:val="004159BA"/>
    <w:rsid w:val="00416A4D"/>
    <w:rsid w:val="00416B14"/>
    <w:rsid w:val="004173F9"/>
    <w:rsid w:val="00420686"/>
    <w:rsid w:val="00421D72"/>
    <w:rsid w:val="00422C3C"/>
    <w:rsid w:val="004247BF"/>
    <w:rsid w:val="00427308"/>
    <w:rsid w:val="00427D87"/>
    <w:rsid w:val="004317E3"/>
    <w:rsid w:val="00436B8A"/>
    <w:rsid w:val="00441B2D"/>
    <w:rsid w:val="00450DCB"/>
    <w:rsid w:val="00455789"/>
    <w:rsid w:val="00455AA4"/>
    <w:rsid w:val="0046412F"/>
    <w:rsid w:val="004663DD"/>
    <w:rsid w:val="00471BD3"/>
    <w:rsid w:val="00473C60"/>
    <w:rsid w:val="0047741C"/>
    <w:rsid w:val="004A23CA"/>
    <w:rsid w:val="004A68FB"/>
    <w:rsid w:val="004B276E"/>
    <w:rsid w:val="004B5818"/>
    <w:rsid w:val="004B5DC8"/>
    <w:rsid w:val="004B7A43"/>
    <w:rsid w:val="004C0961"/>
    <w:rsid w:val="004C0A8E"/>
    <w:rsid w:val="004D406D"/>
    <w:rsid w:val="004E476C"/>
    <w:rsid w:val="004E4A15"/>
    <w:rsid w:val="004E5EB8"/>
    <w:rsid w:val="004F6A88"/>
    <w:rsid w:val="00516483"/>
    <w:rsid w:val="00516D42"/>
    <w:rsid w:val="00516D48"/>
    <w:rsid w:val="00525E6D"/>
    <w:rsid w:val="00527721"/>
    <w:rsid w:val="00532499"/>
    <w:rsid w:val="005326C3"/>
    <w:rsid w:val="00547CB8"/>
    <w:rsid w:val="005555B6"/>
    <w:rsid w:val="00562234"/>
    <w:rsid w:val="00583211"/>
    <w:rsid w:val="005843FD"/>
    <w:rsid w:val="00585D38"/>
    <w:rsid w:val="00587182"/>
    <w:rsid w:val="005878A8"/>
    <w:rsid w:val="00593B83"/>
    <w:rsid w:val="00594240"/>
    <w:rsid w:val="00594930"/>
    <w:rsid w:val="005A75C8"/>
    <w:rsid w:val="005B01C9"/>
    <w:rsid w:val="005B41A6"/>
    <w:rsid w:val="005B5614"/>
    <w:rsid w:val="005B6B39"/>
    <w:rsid w:val="005C0AD8"/>
    <w:rsid w:val="005C6EBC"/>
    <w:rsid w:val="005D055E"/>
    <w:rsid w:val="005D1310"/>
    <w:rsid w:val="005D22F8"/>
    <w:rsid w:val="005D2D5D"/>
    <w:rsid w:val="005D49C2"/>
    <w:rsid w:val="005E6F8D"/>
    <w:rsid w:val="005E766D"/>
    <w:rsid w:val="005F686B"/>
    <w:rsid w:val="00601ED5"/>
    <w:rsid w:val="00607CF7"/>
    <w:rsid w:val="006110A6"/>
    <w:rsid w:val="00615180"/>
    <w:rsid w:val="00616163"/>
    <w:rsid w:val="0062134F"/>
    <w:rsid w:val="00625834"/>
    <w:rsid w:val="00627902"/>
    <w:rsid w:val="00636558"/>
    <w:rsid w:val="00654F9E"/>
    <w:rsid w:val="00655444"/>
    <w:rsid w:val="006556D4"/>
    <w:rsid w:val="00660C13"/>
    <w:rsid w:val="0066197B"/>
    <w:rsid w:val="00662CD7"/>
    <w:rsid w:val="00666D69"/>
    <w:rsid w:val="00674E56"/>
    <w:rsid w:val="00684DC2"/>
    <w:rsid w:val="00695D5D"/>
    <w:rsid w:val="00696542"/>
    <w:rsid w:val="00697FEE"/>
    <w:rsid w:val="006A00E7"/>
    <w:rsid w:val="006A36EE"/>
    <w:rsid w:val="006A6A63"/>
    <w:rsid w:val="006A7650"/>
    <w:rsid w:val="006A7A2F"/>
    <w:rsid w:val="006B72C8"/>
    <w:rsid w:val="006C7805"/>
    <w:rsid w:val="006D0EF2"/>
    <w:rsid w:val="006D3B59"/>
    <w:rsid w:val="006D75D4"/>
    <w:rsid w:val="006F4E9A"/>
    <w:rsid w:val="006F5BB8"/>
    <w:rsid w:val="006F71DF"/>
    <w:rsid w:val="007045EF"/>
    <w:rsid w:val="00705A1E"/>
    <w:rsid w:val="00712933"/>
    <w:rsid w:val="007162AF"/>
    <w:rsid w:val="0072734A"/>
    <w:rsid w:val="00730223"/>
    <w:rsid w:val="00730C7F"/>
    <w:rsid w:val="00734C89"/>
    <w:rsid w:val="00740973"/>
    <w:rsid w:val="00745019"/>
    <w:rsid w:val="007453BC"/>
    <w:rsid w:val="0074724B"/>
    <w:rsid w:val="00755189"/>
    <w:rsid w:val="00760367"/>
    <w:rsid w:val="00763030"/>
    <w:rsid w:val="00773D96"/>
    <w:rsid w:val="00775C7B"/>
    <w:rsid w:val="00775D10"/>
    <w:rsid w:val="00781916"/>
    <w:rsid w:val="007862F8"/>
    <w:rsid w:val="007A48C2"/>
    <w:rsid w:val="007A5526"/>
    <w:rsid w:val="007A665A"/>
    <w:rsid w:val="007A6E59"/>
    <w:rsid w:val="007B454C"/>
    <w:rsid w:val="007B68A4"/>
    <w:rsid w:val="007B6EF1"/>
    <w:rsid w:val="007C10E7"/>
    <w:rsid w:val="007C6154"/>
    <w:rsid w:val="007D08A6"/>
    <w:rsid w:val="007D2E55"/>
    <w:rsid w:val="007D3B08"/>
    <w:rsid w:val="007D4399"/>
    <w:rsid w:val="007E208A"/>
    <w:rsid w:val="007E4A17"/>
    <w:rsid w:val="007F16A8"/>
    <w:rsid w:val="007F2847"/>
    <w:rsid w:val="007F45D5"/>
    <w:rsid w:val="00802892"/>
    <w:rsid w:val="00806423"/>
    <w:rsid w:val="00807D78"/>
    <w:rsid w:val="00822861"/>
    <w:rsid w:val="008258DC"/>
    <w:rsid w:val="00827CE7"/>
    <w:rsid w:val="008304BD"/>
    <w:rsid w:val="0083326D"/>
    <w:rsid w:val="00843101"/>
    <w:rsid w:val="00845372"/>
    <w:rsid w:val="008500BD"/>
    <w:rsid w:val="00851519"/>
    <w:rsid w:val="00851A98"/>
    <w:rsid w:val="00851DB6"/>
    <w:rsid w:val="00862830"/>
    <w:rsid w:val="00863CB9"/>
    <w:rsid w:val="008749BB"/>
    <w:rsid w:val="0087501C"/>
    <w:rsid w:val="00876C9C"/>
    <w:rsid w:val="008808CF"/>
    <w:rsid w:val="008C2D2B"/>
    <w:rsid w:val="008C39D7"/>
    <w:rsid w:val="008C4C8E"/>
    <w:rsid w:val="008D23FA"/>
    <w:rsid w:val="008D27B5"/>
    <w:rsid w:val="008D679B"/>
    <w:rsid w:val="008D68C8"/>
    <w:rsid w:val="008D7619"/>
    <w:rsid w:val="008D76A2"/>
    <w:rsid w:val="008E2CD9"/>
    <w:rsid w:val="008E7395"/>
    <w:rsid w:val="008F5A68"/>
    <w:rsid w:val="008F73CF"/>
    <w:rsid w:val="0091282A"/>
    <w:rsid w:val="009238C0"/>
    <w:rsid w:val="00924AF2"/>
    <w:rsid w:val="0093196B"/>
    <w:rsid w:val="00932795"/>
    <w:rsid w:val="00932D43"/>
    <w:rsid w:val="009348BB"/>
    <w:rsid w:val="00936D11"/>
    <w:rsid w:val="009437B1"/>
    <w:rsid w:val="009461B7"/>
    <w:rsid w:val="00946778"/>
    <w:rsid w:val="009501FF"/>
    <w:rsid w:val="00950ED9"/>
    <w:rsid w:val="00954542"/>
    <w:rsid w:val="00984EE5"/>
    <w:rsid w:val="00991503"/>
    <w:rsid w:val="009A374F"/>
    <w:rsid w:val="009A69FD"/>
    <w:rsid w:val="009B2B36"/>
    <w:rsid w:val="009B6BB7"/>
    <w:rsid w:val="009C3AD6"/>
    <w:rsid w:val="009D1364"/>
    <w:rsid w:val="009D2CC1"/>
    <w:rsid w:val="009D3936"/>
    <w:rsid w:val="009D3E22"/>
    <w:rsid w:val="009D51DA"/>
    <w:rsid w:val="009E242B"/>
    <w:rsid w:val="009E45DA"/>
    <w:rsid w:val="009E523F"/>
    <w:rsid w:val="009F0058"/>
    <w:rsid w:val="00A12EDA"/>
    <w:rsid w:val="00A138F7"/>
    <w:rsid w:val="00A13D35"/>
    <w:rsid w:val="00A14E98"/>
    <w:rsid w:val="00A15552"/>
    <w:rsid w:val="00A24A19"/>
    <w:rsid w:val="00A26CBA"/>
    <w:rsid w:val="00A40329"/>
    <w:rsid w:val="00A4332E"/>
    <w:rsid w:val="00A47415"/>
    <w:rsid w:val="00A53C41"/>
    <w:rsid w:val="00A57AB7"/>
    <w:rsid w:val="00A61699"/>
    <w:rsid w:val="00A64339"/>
    <w:rsid w:val="00A647CE"/>
    <w:rsid w:val="00A65ED0"/>
    <w:rsid w:val="00A66B73"/>
    <w:rsid w:val="00A70CC7"/>
    <w:rsid w:val="00A757F6"/>
    <w:rsid w:val="00A758EA"/>
    <w:rsid w:val="00A806F3"/>
    <w:rsid w:val="00A83713"/>
    <w:rsid w:val="00A8541B"/>
    <w:rsid w:val="00A90C17"/>
    <w:rsid w:val="00A96B29"/>
    <w:rsid w:val="00AB2920"/>
    <w:rsid w:val="00AB4540"/>
    <w:rsid w:val="00AC0F09"/>
    <w:rsid w:val="00AC4077"/>
    <w:rsid w:val="00AC537A"/>
    <w:rsid w:val="00AD1AF3"/>
    <w:rsid w:val="00AD223D"/>
    <w:rsid w:val="00AD3671"/>
    <w:rsid w:val="00AD7A41"/>
    <w:rsid w:val="00AF2908"/>
    <w:rsid w:val="00AF2DD2"/>
    <w:rsid w:val="00AF412B"/>
    <w:rsid w:val="00AF6AE1"/>
    <w:rsid w:val="00B01982"/>
    <w:rsid w:val="00B103C2"/>
    <w:rsid w:val="00B130B0"/>
    <w:rsid w:val="00B150A1"/>
    <w:rsid w:val="00B15861"/>
    <w:rsid w:val="00B15A85"/>
    <w:rsid w:val="00B16023"/>
    <w:rsid w:val="00B16E89"/>
    <w:rsid w:val="00B17097"/>
    <w:rsid w:val="00B269A7"/>
    <w:rsid w:val="00B36B35"/>
    <w:rsid w:val="00B469D4"/>
    <w:rsid w:val="00B571AC"/>
    <w:rsid w:val="00B61CC8"/>
    <w:rsid w:val="00B70212"/>
    <w:rsid w:val="00B718B1"/>
    <w:rsid w:val="00B7689A"/>
    <w:rsid w:val="00B80E29"/>
    <w:rsid w:val="00B81B62"/>
    <w:rsid w:val="00B827D1"/>
    <w:rsid w:val="00B8281F"/>
    <w:rsid w:val="00B87440"/>
    <w:rsid w:val="00B92685"/>
    <w:rsid w:val="00B9463A"/>
    <w:rsid w:val="00B97BBF"/>
    <w:rsid w:val="00BA1515"/>
    <w:rsid w:val="00BA3940"/>
    <w:rsid w:val="00BA4929"/>
    <w:rsid w:val="00BA7080"/>
    <w:rsid w:val="00BA7640"/>
    <w:rsid w:val="00BB0206"/>
    <w:rsid w:val="00BB2FB2"/>
    <w:rsid w:val="00BB3A62"/>
    <w:rsid w:val="00BB489F"/>
    <w:rsid w:val="00BB5BD0"/>
    <w:rsid w:val="00BC0537"/>
    <w:rsid w:val="00BC05D7"/>
    <w:rsid w:val="00BC4DBA"/>
    <w:rsid w:val="00BD201F"/>
    <w:rsid w:val="00BD58EE"/>
    <w:rsid w:val="00BE72AB"/>
    <w:rsid w:val="00BF15A4"/>
    <w:rsid w:val="00C014E3"/>
    <w:rsid w:val="00C045B9"/>
    <w:rsid w:val="00C04AB6"/>
    <w:rsid w:val="00C07233"/>
    <w:rsid w:val="00C12E00"/>
    <w:rsid w:val="00C1493F"/>
    <w:rsid w:val="00C1638C"/>
    <w:rsid w:val="00C21709"/>
    <w:rsid w:val="00C22A46"/>
    <w:rsid w:val="00C23927"/>
    <w:rsid w:val="00C2520E"/>
    <w:rsid w:val="00C319B0"/>
    <w:rsid w:val="00C3543E"/>
    <w:rsid w:val="00C372D4"/>
    <w:rsid w:val="00C400F3"/>
    <w:rsid w:val="00C439E8"/>
    <w:rsid w:val="00C43A26"/>
    <w:rsid w:val="00C43E12"/>
    <w:rsid w:val="00C47012"/>
    <w:rsid w:val="00C53193"/>
    <w:rsid w:val="00C53F74"/>
    <w:rsid w:val="00C6667D"/>
    <w:rsid w:val="00C66CBB"/>
    <w:rsid w:val="00C67F14"/>
    <w:rsid w:val="00C7294F"/>
    <w:rsid w:val="00C75539"/>
    <w:rsid w:val="00C767BB"/>
    <w:rsid w:val="00C87585"/>
    <w:rsid w:val="00C96CD2"/>
    <w:rsid w:val="00CA0963"/>
    <w:rsid w:val="00CA2E33"/>
    <w:rsid w:val="00CA4FCA"/>
    <w:rsid w:val="00CA6A56"/>
    <w:rsid w:val="00CB039B"/>
    <w:rsid w:val="00CB0A09"/>
    <w:rsid w:val="00CB5FE8"/>
    <w:rsid w:val="00CB68C8"/>
    <w:rsid w:val="00CC4D37"/>
    <w:rsid w:val="00CC6EC3"/>
    <w:rsid w:val="00CD3467"/>
    <w:rsid w:val="00CD51D2"/>
    <w:rsid w:val="00CE1FA7"/>
    <w:rsid w:val="00CE6C02"/>
    <w:rsid w:val="00CE7225"/>
    <w:rsid w:val="00CE7B75"/>
    <w:rsid w:val="00CF207A"/>
    <w:rsid w:val="00D03129"/>
    <w:rsid w:val="00D106B3"/>
    <w:rsid w:val="00D1378D"/>
    <w:rsid w:val="00D1437D"/>
    <w:rsid w:val="00D20F49"/>
    <w:rsid w:val="00D21074"/>
    <w:rsid w:val="00D3169E"/>
    <w:rsid w:val="00D349DB"/>
    <w:rsid w:val="00D37A84"/>
    <w:rsid w:val="00D42873"/>
    <w:rsid w:val="00D45A2A"/>
    <w:rsid w:val="00D4723D"/>
    <w:rsid w:val="00D4799F"/>
    <w:rsid w:val="00D51D3D"/>
    <w:rsid w:val="00D52737"/>
    <w:rsid w:val="00D62C8D"/>
    <w:rsid w:val="00D62E44"/>
    <w:rsid w:val="00D65EAE"/>
    <w:rsid w:val="00D723BD"/>
    <w:rsid w:val="00D73021"/>
    <w:rsid w:val="00D8120B"/>
    <w:rsid w:val="00D81417"/>
    <w:rsid w:val="00D836B3"/>
    <w:rsid w:val="00D83863"/>
    <w:rsid w:val="00D90FEF"/>
    <w:rsid w:val="00D91C10"/>
    <w:rsid w:val="00DA2777"/>
    <w:rsid w:val="00DB0C10"/>
    <w:rsid w:val="00DB16E9"/>
    <w:rsid w:val="00DB7771"/>
    <w:rsid w:val="00DC3073"/>
    <w:rsid w:val="00DC41B9"/>
    <w:rsid w:val="00DC529C"/>
    <w:rsid w:val="00DC7E1E"/>
    <w:rsid w:val="00DD13FD"/>
    <w:rsid w:val="00DD27A2"/>
    <w:rsid w:val="00DE02B1"/>
    <w:rsid w:val="00DE4DEA"/>
    <w:rsid w:val="00DE669D"/>
    <w:rsid w:val="00DE7112"/>
    <w:rsid w:val="00DF28BF"/>
    <w:rsid w:val="00DF7504"/>
    <w:rsid w:val="00E1185F"/>
    <w:rsid w:val="00E14BDB"/>
    <w:rsid w:val="00E1640F"/>
    <w:rsid w:val="00E252D8"/>
    <w:rsid w:val="00E26334"/>
    <w:rsid w:val="00E26C0E"/>
    <w:rsid w:val="00E33436"/>
    <w:rsid w:val="00E36361"/>
    <w:rsid w:val="00E441F6"/>
    <w:rsid w:val="00E47DDD"/>
    <w:rsid w:val="00E53274"/>
    <w:rsid w:val="00E54FF5"/>
    <w:rsid w:val="00E638AC"/>
    <w:rsid w:val="00E63DD3"/>
    <w:rsid w:val="00E70376"/>
    <w:rsid w:val="00E75A3E"/>
    <w:rsid w:val="00E8043B"/>
    <w:rsid w:val="00E81BB4"/>
    <w:rsid w:val="00E831C1"/>
    <w:rsid w:val="00EA0636"/>
    <w:rsid w:val="00EA33B9"/>
    <w:rsid w:val="00EA3DF9"/>
    <w:rsid w:val="00EA45CD"/>
    <w:rsid w:val="00EB2B56"/>
    <w:rsid w:val="00EB464F"/>
    <w:rsid w:val="00EB61C5"/>
    <w:rsid w:val="00EC1FC1"/>
    <w:rsid w:val="00EC59D4"/>
    <w:rsid w:val="00EC76EF"/>
    <w:rsid w:val="00ED0EEC"/>
    <w:rsid w:val="00ED1C33"/>
    <w:rsid w:val="00EE3D38"/>
    <w:rsid w:val="00EF02DC"/>
    <w:rsid w:val="00EF3720"/>
    <w:rsid w:val="00F05C85"/>
    <w:rsid w:val="00F0601B"/>
    <w:rsid w:val="00F10D4B"/>
    <w:rsid w:val="00F17720"/>
    <w:rsid w:val="00F22CA2"/>
    <w:rsid w:val="00F26DEB"/>
    <w:rsid w:val="00F33050"/>
    <w:rsid w:val="00F35ED9"/>
    <w:rsid w:val="00F36E02"/>
    <w:rsid w:val="00F40806"/>
    <w:rsid w:val="00F40D2F"/>
    <w:rsid w:val="00F532C5"/>
    <w:rsid w:val="00F54893"/>
    <w:rsid w:val="00F55790"/>
    <w:rsid w:val="00F574FE"/>
    <w:rsid w:val="00F67FDE"/>
    <w:rsid w:val="00F75588"/>
    <w:rsid w:val="00F75844"/>
    <w:rsid w:val="00F762F9"/>
    <w:rsid w:val="00F766E4"/>
    <w:rsid w:val="00F9081D"/>
    <w:rsid w:val="00F912BB"/>
    <w:rsid w:val="00F937DD"/>
    <w:rsid w:val="00F93C5C"/>
    <w:rsid w:val="00F97AFD"/>
    <w:rsid w:val="00FA0099"/>
    <w:rsid w:val="00FA0EF4"/>
    <w:rsid w:val="00FA36D0"/>
    <w:rsid w:val="00FA389B"/>
    <w:rsid w:val="00FB0344"/>
    <w:rsid w:val="00FB2B73"/>
    <w:rsid w:val="00FB3750"/>
    <w:rsid w:val="00FB4A3F"/>
    <w:rsid w:val="00FC2FCA"/>
    <w:rsid w:val="00FE0AC9"/>
    <w:rsid w:val="00FE114E"/>
    <w:rsid w:val="00FE140E"/>
    <w:rsid w:val="00FE62F2"/>
    <w:rsid w:val="00FE7EB5"/>
    <w:rsid w:val="00FF28F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FCC85"/>
  <w15:docId w15:val="{8C01E8EC-9623-471E-8BB4-BB7BBCDB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8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22861"/>
    <w:pPr>
      <w:keepNext/>
      <w:widowControl w:val="0"/>
      <w:autoSpaceDE w:val="0"/>
      <w:autoSpaceDN w:val="0"/>
      <w:adjustRightInd w:val="0"/>
      <w:jc w:val="both"/>
      <w:outlineLvl w:val="0"/>
    </w:pPr>
    <w:rPr>
      <w:rFonts w:ascii="Garamond" w:hAnsi="Garamond" w:cs="Times New Roman TU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861"/>
    <w:rPr>
      <w:rFonts w:ascii="Garamond" w:eastAsia="Times New Roman" w:hAnsi="Garamond" w:cs="Times New Roman TUR"/>
      <w:b/>
      <w:szCs w:val="20"/>
    </w:rPr>
  </w:style>
  <w:style w:type="paragraph" w:styleId="BodyText2">
    <w:name w:val="Body Text 2"/>
    <w:basedOn w:val="Normal"/>
    <w:link w:val="BodyText2Char"/>
    <w:rsid w:val="00822861"/>
    <w:pPr>
      <w:spacing w:after="120" w:line="480" w:lineRule="auto"/>
    </w:pPr>
  </w:style>
  <w:style w:type="character" w:customStyle="1" w:styleId="BodyText2Char">
    <w:name w:val="Body Text 2 Char"/>
    <w:basedOn w:val="DefaultParagraphFont"/>
    <w:link w:val="BodyText2"/>
    <w:rsid w:val="0082286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758EA"/>
    <w:pPr>
      <w:tabs>
        <w:tab w:val="center" w:pos="4513"/>
        <w:tab w:val="right" w:pos="9026"/>
      </w:tabs>
    </w:pPr>
  </w:style>
  <w:style w:type="character" w:customStyle="1" w:styleId="HeaderChar">
    <w:name w:val="Header Char"/>
    <w:basedOn w:val="DefaultParagraphFont"/>
    <w:link w:val="Header"/>
    <w:uiPriority w:val="99"/>
    <w:rsid w:val="00A758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58EA"/>
    <w:pPr>
      <w:tabs>
        <w:tab w:val="center" w:pos="4513"/>
        <w:tab w:val="right" w:pos="9026"/>
      </w:tabs>
    </w:pPr>
  </w:style>
  <w:style w:type="character" w:customStyle="1" w:styleId="FooterChar">
    <w:name w:val="Footer Char"/>
    <w:basedOn w:val="DefaultParagraphFont"/>
    <w:link w:val="Footer"/>
    <w:uiPriority w:val="99"/>
    <w:rsid w:val="00A758EA"/>
    <w:rPr>
      <w:rFonts w:ascii="Times New Roman" w:eastAsia="Times New Roman" w:hAnsi="Times New Roman" w:cs="Times New Roman"/>
      <w:sz w:val="24"/>
      <w:szCs w:val="24"/>
      <w:lang w:eastAsia="en-GB"/>
    </w:rPr>
  </w:style>
  <w:style w:type="table" w:styleId="TableGrid">
    <w:name w:val="Table Grid"/>
    <w:basedOn w:val="TableNormal"/>
    <w:uiPriority w:val="59"/>
    <w:rsid w:val="00A75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C4D37"/>
    <w:rPr>
      <w:b/>
      <w:bCs/>
    </w:rPr>
  </w:style>
  <w:style w:type="character" w:styleId="Emphasis">
    <w:name w:val="Emphasis"/>
    <w:uiPriority w:val="20"/>
    <w:qFormat/>
    <w:rsid w:val="00CC4D37"/>
    <w:rPr>
      <w:i/>
      <w:iCs/>
    </w:rPr>
  </w:style>
  <w:style w:type="character" w:styleId="Hyperlink">
    <w:name w:val="Hyperlink"/>
    <w:uiPriority w:val="99"/>
    <w:rsid w:val="00CC4D37"/>
    <w:rPr>
      <w:color w:val="0000FF"/>
      <w:u w:val="single"/>
    </w:rPr>
  </w:style>
  <w:style w:type="paragraph" w:styleId="BalloonText">
    <w:name w:val="Balloon Text"/>
    <w:basedOn w:val="Normal"/>
    <w:link w:val="BalloonTextChar"/>
    <w:uiPriority w:val="99"/>
    <w:semiHidden/>
    <w:unhideWhenUsed/>
    <w:rsid w:val="007A5526"/>
    <w:rPr>
      <w:rFonts w:ascii="Tahoma" w:hAnsi="Tahoma" w:cs="Tahoma"/>
      <w:sz w:val="16"/>
      <w:szCs w:val="16"/>
    </w:rPr>
  </w:style>
  <w:style w:type="character" w:customStyle="1" w:styleId="BalloonTextChar">
    <w:name w:val="Balloon Text Char"/>
    <w:basedOn w:val="DefaultParagraphFont"/>
    <w:link w:val="BalloonText"/>
    <w:uiPriority w:val="99"/>
    <w:semiHidden/>
    <w:rsid w:val="007A5526"/>
    <w:rPr>
      <w:rFonts w:ascii="Tahoma" w:eastAsia="Times New Roman" w:hAnsi="Tahoma" w:cs="Tahoma"/>
      <w:sz w:val="16"/>
      <w:szCs w:val="16"/>
      <w:lang w:eastAsia="en-GB"/>
    </w:rPr>
  </w:style>
  <w:style w:type="paragraph" w:customStyle="1" w:styleId="FreeForm">
    <w:name w:val="Free Form"/>
    <w:rsid w:val="00636558"/>
    <w:pPr>
      <w:spacing w:after="0" w:line="240" w:lineRule="auto"/>
    </w:pPr>
    <w:rPr>
      <w:rFonts w:ascii="Helvetica" w:eastAsia="ヒラギノ角ゴ Pro W3" w:hAnsi="Helvetica" w:cs="Times New Roman"/>
      <w:color w:val="000000"/>
      <w:sz w:val="24"/>
      <w:szCs w:val="20"/>
    </w:rPr>
  </w:style>
  <w:style w:type="paragraph" w:styleId="Bibliography">
    <w:name w:val="Bibliography"/>
    <w:basedOn w:val="Normal"/>
    <w:next w:val="Normal"/>
    <w:uiPriority w:val="37"/>
    <w:semiHidden/>
    <w:unhideWhenUsed/>
    <w:rsid w:val="00E26C0E"/>
  </w:style>
  <w:style w:type="paragraph" w:customStyle="1" w:styleId="NormalWeb1">
    <w:name w:val="Normal (Web)1"/>
    <w:rsid w:val="00E26C0E"/>
    <w:pPr>
      <w:spacing w:before="100" w:after="100" w:line="240" w:lineRule="auto"/>
    </w:pPr>
    <w:rPr>
      <w:rFonts w:ascii="Times New Roman" w:eastAsia="ヒラギノ角ゴ Pro W3" w:hAnsi="Times New Roman" w:cs="Times New Roman"/>
      <w:color w:val="000000"/>
      <w:sz w:val="24"/>
      <w:szCs w:val="20"/>
      <w:lang w:val="en-US"/>
    </w:rPr>
  </w:style>
  <w:style w:type="character" w:customStyle="1" w:styleId="Strong1">
    <w:name w:val="Strong1"/>
    <w:rsid w:val="00E26C0E"/>
    <w:rPr>
      <w:rFonts w:ascii="Lucida Grande" w:eastAsia="ヒラギノ角ゴ Pro W3" w:hAnsi="Lucida Grande"/>
      <w:b/>
      <w:i w:val="0"/>
      <w:color w:val="000000"/>
      <w:sz w:val="20"/>
    </w:rPr>
  </w:style>
  <w:style w:type="paragraph" w:customStyle="1" w:styleId="Heading11">
    <w:name w:val="Heading 11"/>
    <w:rsid w:val="00E26C0E"/>
    <w:pPr>
      <w:spacing w:before="100" w:after="100" w:line="240" w:lineRule="auto"/>
      <w:outlineLvl w:val="0"/>
    </w:pPr>
    <w:rPr>
      <w:rFonts w:ascii="Times" w:eastAsia="ヒラギノ角ゴ Pro W3" w:hAnsi="Times" w:cs="Times New Roman"/>
      <w:b/>
      <w:color w:val="000000"/>
      <w:kern w:val="36"/>
      <w:sz w:val="48"/>
      <w:szCs w:val="20"/>
      <w:lang w:val="en-US"/>
    </w:rPr>
  </w:style>
  <w:style w:type="character" w:styleId="PageNumber">
    <w:name w:val="page number"/>
    <w:basedOn w:val="DefaultParagraphFont"/>
    <w:uiPriority w:val="99"/>
    <w:semiHidden/>
    <w:unhideWhenUsed/>
    <w:rsid w:val="00E26C0E"/>
  </w:style>
  <w:style w:type="paragraph" w:styleId="ListParagraph">
    <w:name w:val="List Paragraph"/>
    <w:basedOn w:val="Normal"/>
    <w:uiPriority w:val="34"/>
    <w:qFormat/>
    <w:rsid w:val="0029540B"/>
    <w:pPr>
      <w:ind w:left="720"/>
      <w:contextualSpacing/>
    </w:pPr>
  </w:style>
  <w:style w:type="character" w:customStyle="1" w:styleId="st1">
    <w:name w:val="st1"/>
    <w:basedOn w:val="DefaultParagraphFont"/>
    <w:rsid w:val="009D51DA"/>
  </w:style>
  <w:style w:type="character" w:styleId="FollowedHyperlink">
    <w:name w:val="FollowedHyperlink"/>
    <w:basedOn w:val="DefaultParagraphFont"/>
    <w:uiPriority w:val="99"/>
    <w:semiHidden/>
    <w:unhideWhenUsed/>
    <w:rsid w:val="00E831C1"/>
    <w:rPr>
      <w:color w:val="800080" w:themeColor="followedHyperlink"/>
      <w:u w:val="single"/>
    </w:rPr>
  </w:style>
  <w:style w:type="paragraph" w:customStyle="1" w:styleId="Footnotes">
    <w:name w:val="Footnotes"/>
    <w:basedOn w:val="Normal"/>
    <w:rsid w:val="00007A79"/>
    <w:pPr>
      <w:keepNext/>
      <w:spacing w:after="120"/>
      <w:ind w:left="720" w:hanging="720"/>
      <w:jc w:val="both"/>
    </w:pPr>
    <w:rPr>
      <w:rFonts w:cs="Arial"/>
      <w:bCs/>
      <w:sz w:val="20"/>
      <w:szCs w:val="26"/>
      <w:lang w:eastAsia="en-US"/>
    </w:rPr>
  </w:style>
  <w:style w:type="character" w:customStyle="1" w:styleId="normal10">
    <w:name w:val="normal10"/>
    <w:rsid w:val="00B269A7"/>
  </w:style>
  <w:style w:type="character" w:styleId="EndnoteReference">
    <w:name w:val="endnote reference"/>
    <w:uiPriority w:val="99"/>
    <w:semiHidden/>
    <w:unhideWhenUsed/>
    <w:rsid w:val="001C62C3"/>
    <w:rPr>
      <w:rFonts w:cs="Times New Roman"/>
      <w:vertAlign w:val="superscript"/>
    </w:rPr>
  </w:style>
  <w:style w:type="paragraph" w:customStyle="1" w:styleId="Quotes">
    <w:name w:val="Quotes"/>
    <w:basedOn w:val="Normal"/>
    <w:rsid w:val="001C62C3"/>
    <w:pPr>
      <w:keepNext/>
      <w:spacing w:after="360"/>
      <w:ind w:left="720" w:right="720"/>
      <w:jc w:val="both"/>
      <w:outlineLvl w:val="2"/>
    </w:pPr>
    <w:rPr>
      <w:rFonts w:cs="Arial"/>
      <w:bCs/>
      <w:szCs w:val="26"/>
      <w:lang w:eastAsia="en-US"/>
    </w:rPr>
  </w:style>
  <w:style w:type="paragraph" w:customStyle="1" w:styleId="EndNoteBibliographyTitle">
    <w:name w:val="EndNote Bibliography Title"/>
    <w:basedOn w:val="Normal"/>
    <w:link w:val="EndNoteBibliographyTitleChar"/>
    <w:rsid w:val="00436B8A"/>
    <w:pPr>
      <w:jc w:val="center"/>
    </w:pPr>
    <w:rPr>
      <w:noProof/>
    </w:rPr>
  </w:style>
  <w:style w:type="character" w:customStyle="1" w:styleId="EndNoteBibliographyTitleChar">
    <w:name w:val="EndNote Bibliography Title Char"/>
    <w:basedOn w:val="DefaultParagraphFont"/>
    <w:link w:val="EndNoteBibliographyTitle"/>
    <w:rsid w:val="00436B8A"/>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436B8A"/>
    <w:rPr>
      <w:noProof/>
    </w:rPr>
  </w:style>
  <w:style w:type="character" w:customStyle="1" w:styleId="EndNoteBibliographyChar">
    <w:name w:val="EndNote Bibliography Char"/>
    <w:basedOn w:val="DefaultParagraphFont"/>
    <w:link w:val="EndNoteBibliography"/>
    <w:rsid w:val="00436B8A"/>
    <w:rPr>
      <w:rFonts w:ascii="Times New Roman" w:eastAsia="Times New Roman" w:hAnsi="Times New Roman" w:cs="Times New Roman"/>
      <w:noProof/>
      <w:sz w:val="24"/>
      <w:szCs w:val="24"/>
      <w:lang w:eastAsia="en-GB"/>
    </w:rPr>
  </w:style>
  <w:style w:type="character" w:customStyle="1" w:styleId="UnresolvedMention1">
    <w:name w:val="Unresolved Mention1"/>
    <w:basedOn w:val="DefaultParagraphFont"/>
    <w:uiPriority w:val="99"/>
    <w:semiHidden/>
    <w:unhideWhenUsed/>
    <w:rsid w:val="005E766D"/>
    <w:rPr>
      <w:color w:val="808080"/>
      <w:shd w:val="clear" w:color="auto" w:fill="E6E6E6"/>
    </w:rPr>
  </w:style>
  <w:style w:type="paragraph" w:styleId="IntenseQuote">
    <w:name w:val="Intense Quote"/>
    <w:basedOn w:val="Normal"/>
    <w:next w:val="Normal"/>
    <w:link w:val="IntenseQuoteChar"/>
    <w:uiPriority w:val="30"/>
    <w:qFormat/>
    <w:rsid w:val="00A14E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14E98"/>
    <w:rPr>
      <w:rFonts w:ascii="Times New Roman" w:eastAsia="Times New Roman" w:hAnsi="Times New Roman" w:cs="Times New Roman"/>
      <w:i/>
      <w:iCs/>
      <w:color w:val="4F81BD" w:themeColor="accent1"/>
      <w:sz w:val="24"/>
      <w:szCs w:val="24"/>
      <w:lang w:eastAsia="en-GB"/>
    </w:rPr>
  </w:style>
  <w:style w:type="character" w:customStyle="1" w:styleId="UnresolvedMention2">
    <w:name w:val="Unresolved Mention2"/>
    <w:basedOn w:val="DefaultParagraphFont"/>
    <w:uiPriority w:val="99"/>
    <w:semiHidden/>
    <w:unhideWhenUsed/>
    <w:rsid w:val="00412342"/>
    <w:rPr>
      <w:color w:val="808080"/>
      <w:shd w:val="clear" w:color="auto" w:fill="E6E6E6"/>
    </w:rPr>
  </w:style>
  <w:style w:type="character" w:customStyle="1" w:styleId="UnresolvedMention">
    <w:name w:val="Unresolved Mention"/>
    <w:basedOn w:val="DefaultParagraphFont"/>
    <w:uiPriority w:val="99"/>
    <w:semiHidden/>
    <w:unhideWhenUsed/>
    <w:rsid w:val="003D2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7317">
      <w:bodyDiv w:val="1"/>
      <w:marLeft w:val="0"/>
      <w:marRight w:val="0"/>
      <w:marTop w:val="0"/>
      <w:marBottom w:val="0"/>
      <w:divBdr>
        <w:top w:val="none" w:sz="0" w:space="0" w:color="auto"/>
        <w:left w:val="none" w:sz="0" w:space="0" w:color="auto"/>
        <w:bottom w:val="none" w:sz="0" w:space="0" w:color="auto"/>
        <w:right w:val="none" w:sz="0" w:space="0" w:color="auto"/>
      </w:divBdr>
    </w:div>
    <w:div w:id="1040203607">
      <w:bodyDiv w:val="1"/>
      <w:marLeft w:val="0"/>
      <w:marRight w:val="0"/>
      <w:marTop w:val="0"/>
      <w:marBottom w:val="0"/>
      <w:divBdr>
        <w:top w:val="none" w:sz="0" w:space="0" w:color="auto"/>
        <w:left w:val="none" w:sz="0" w:space="0" w:color="auto"/>
        <w:bottom w:val="none" w:sz="0" w:space="0" w:color="auto"/>
        <w:right w:val="none" w:sz="0" w:space="0" w:color="auto"/>
      </w:divBdr>
    </w:div>
    <w:div w:id="11461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0/1369183X.2018.1501270" TargetMode="External"/><Relationship Id="rId12" Type="http://schemas.openxmlformats.org/officeDocument/2006/relationships/hyperlink" Target="https://doi.org/10.1080/0966369X.2018.1441141"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hcr.org/3b66c2aa10.html" TargetMode="External"/><Relationship Id="rId8" Type="http://schemas.openxmlformats.org/officeDocument/2006/relationships/hyperlink" Target="https://www.echr.coe.int/Documents/Convention_ENG.pdf" TargetMode="External"/><Relationship Id="rId9" Type="http://schemas.openxmlformats.org/officeDocument/2006/relationships/hyperlink" Target="https://doi.org/10.1016/j.geoforum.2018.09.031" TargetMode="External"/><Relationship Id="rId10" Type="http://schemas.openxmlformats.org/officeDocument/2006/relationships/hyperlink" Target="https://doi.org/10.1016/j.geoforum.2018.0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Queen Elizabeth House</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Shepherd</dc:creator>
  <cp:keywords/>
  <dc:description/>
  <cp:lastModifiedBy>Mayblin, Lucy</cp:lastModifiedBy>
  <cp:revision>2</cp:revision>
  <cp:lastPrinted>2018-11-26T14:13:00Z</cp:lastPrinted>
  <dcterms:created xsi:type="dcterms:W3CDTF">2019-01-24T10:14:00Z</dcterms:created>
  <dcterms:modified xsi:type="dcterms:W3CDTF">2019-01-24T10:14:00Z</dcterms:modified>
</cp:coreProperties>
</file>